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E0" w:rsidRPr="00DB3440" w:rsidRDefault="006813E0" w:rsidP="00681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6813E0" w:rsidRPr="000539EB" w:rsidRDefault="006813E0" w:rsidP="00681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6813E0" w:rsidRPr="000539EB" w:rsidRDefault="006813E0" w:rsidP="006813E0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E85229">
        <w:rPr>
          <w:rFonts w:ascii="Times New Roman" w:hAnsi="Times New Roman" w:cs="Times New Roman"/>
          <w:sz w:val="24"/>
          <w:szCs w:val="24"/>
        </w:rPr>
        <w:t>2449-5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:rsidR="006813E0" w:rsidRPr="000539EB" w:rsidRDefault="006813E0" w:rsidP="00681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E0" w:rsidRDefault="006813E0" w:rsidP="00681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07154B" w:rsidRPr="000539EB" w:rsidRDefault="0007154B" w:rsidP="00681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6813E0" w:rsidRPr="003F3FBD" w:rsidRDefault="006813E0" w:rsidP="006813E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813E0" w:rsidRPr="006813E0" w:rsidRDefault="006813E0" w:rsidP="006813E0">
      <w:pPr>
        <w:pStyle w:val="Listaszerbekezds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13E0">
        <w:rPr>
          <w:rFonts w:ascii="Times New Roman" w:hAnsi="Times New Roman" w:cs="Times New Roman"/>
          <w:b/>
          <w:color w:val="000000"/>
          <w:sz w:val="24"/>
          <w:szCs w:val="24"/>
        </w:rPr>
        <w:t>A gyermekjóléti térítési díj alapját képező szolgáltatási önköltségről, valamint a 6/2018. (III.29.) gyermekjóléti rendelet felülvizsgálatáról</w:t>
      </w:r>
    </w:p>
    <w:p w:rsidR="006813E0" w:rsidRPr="000539EB" w:rsidRDefault="006813E0" w:rsidP="0068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07154B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E0" w:rsidRPr="00333082" w:rsidRDefault="006813E0" w:rsidP="006813E0">
      <w:pPr>
        <w:pStyle w:val="Listaszerbekezds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 gyermekjóléti, gyermekvédelmi ellátásokról,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 xml:space="preserve">személyes </w:t>
      </w:r>
      <w:r w:rsidRPr="00333082">
        <w:rPr>
          <w:rFonts w:ascii="Times New Roman" w:hAnsi="Times New Roman" w:cs="Times New Roman"/>
          <w:sz w:val="24"/>
          <w:szCs w:val="24"/>
        </w:rPr>
        <w:t>gondoskodást nyújtó ellátások igénybevételéről, a fizetendő térítési díjakról szóló 25/2018. (XI. 23.) önkormányzati rendelettel módosított 6/2018. (III. 29.) önkormányzati rendelet 1. és 2. mellékletében meghatározott térítési díj</w:t>
      </w:r>
      <w:r>
        <w:rPr>
          <w:rFonts w:ascii="Times New Roman" w:hAnsi="Times New Roman" w:cs="Times New Roman"/>
          <w:sz w:val="24"/>
          <w:szCs w:val="24"/>
        </w:rPr>
        <w:t xml:space="preserve">ak mértékét változatlanul fenntartom. </w:t>
      </w:r>
    </w:p>
    <w:p w:rsidR="006813E0" w:rsidRPr="00333082" w:rsidRDefault="006813E0" w:rsidP="006813E0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E0" w:rsidRDefault="006813E0" w:rsidP="006813E0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82">
        <w:rPr>
          <w:rFonts w:ascii="Times New Roman" w:hAnsi="Times New Roman" w:cs="Times New Roman"/>
          <w:sz w:val="24"/>
          <w:szCs w:val="24"/>
        </w:rPr>
        <w:t xml:space="preserve">Az intézményvezető által megállapított, a </w:t>
      </w:r>
      <w:r w:rsidRPr="00333082">
        <w:rPr>
          <w:rFonts w:ascii="Times New Roman" w:hAnsi="Times New Roman" w:cs="Times New Roman"/>
          <w:color w:val="000000"/>
          <w:sz w:val="24"/>
          <w:szCs w:val="24"/>
        </w:rPr>
        <w:t>személyes gondoskodást nyújtó gyermekjóléti alapellátás keretében biztosított gyermekek napközbeni ellátása vonatkozásában a szolgáltatási önköltséget az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ábbiak szerint fogadom el: </w:t>
      </w:r>
    </w:p>
    <w:p w:rsidR="006813E0" w:rsidRPr="00333082" w:rsidRDefault="006813E0" w:rsidP="006813E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3E0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A Tiszavasvári Bölcsőde szolg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áltatási önköltség számítása 2020</w:t>
      </w:r>
      <w:r w:rsidRPr="00176C0C">
        <w:rPr>
          <w:rFonts w:ascii="Times New Roman" w:hAnsi="Times New Roman" w:cs="Times New Roman"/>
          <w:bCs/>
          <w:sz w:val="24"/>
          <w:szCs w:val="24"/>
          <w:u w:val="single"/>
        </w:rPr>
        <w:t>. évi költségvetési adatok alapján (az adatok Ft-ban kerültek megadásra):</w:t>
      </w:r>
    </w:p>
    <w:p w:rsidR="006813E0" w:rsidRDefault="006813E0" w:rsidP="006813E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460"/>
        <w:gridCol w:w="1460"/>
        <w:gridCol w:w="1480"/>
      </w:tblGrid>
      <w:tr w:rsidR="006813E0" w:rsidRPr="00966FFC" w:rsidTr="00436057">
        <w:trPr>
          <w:trHeight w:val="270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104031 Gyermekek bölcsődei ellátása feladat teljesített kiadásai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78 886 622</w:t>
            </w:r>
          </w:p>
        </w:tc>
      </w:tr>
      <w:tr w:rsidR="006813E0" w:rsidRPr="00966FFC" w:rsidTr="0043605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104031 Városi Kincstár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2 983 267</w:t>
            </w:r>
          </w:p>
        </w:tc>
      </w:tr>
      <w:tr w:rsidR="006813E0" w:rsidRPr="00966FFC" w:rsidTr="0043605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104035 Gyermekétkeztetés teljesített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16 305 078</w:t>
            </w:r>
          </w:p>
        </w:tc>
      </w:tr>
      <w:tr w:rsidR="006813E0" w:rsidRPr="00966FFC" w:rsidTr="0043605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104035 Városi Kincstár által felosztott költségek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1 574 532</w:t>
            </w:r>
          </w:p>
        </w:tc>
      </w:tr>
      <w:tr w:rsidR="006813E0" w:rsidRPr="00966FFC" w:rsidTr="0043605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Bölcsődei ellátás összes kiadása: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99 749 499</w:t>
            </w:r>
          </w:p>
        </w:tc>
      </w:tr>
      <w:tr w:rsidR="006813E0" w:rsidRPr="00966FFC" w:rsidTr="00436057">
        <w:trPr>
          <w:trHeight w:val="99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Éves szolgáltatási önköltség /fő= összes kiadás osztva a normatíva szempontjából költségvetésben figyelembe vett létszámmal (64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1 558 586</w:t>
            </w:r>
          </w:p>
        </w:tc>
      </w:tr>
      <w:tr w:rsidR="006813E0" w:rsidRPr="00966FFC" w:rsidTr="00436057">
        <w:trPr>
          <w:trHeight w:val="57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 Le: élelmezés nyersanyagköltsége Ft/fő/</w:t>
            </w:r>
            <w:proofErr w:type="gramStart"/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év    (</w:t>
            </w:r>
            <w:proofErr w:type="gramEnd"/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4.370.635.-Ft/54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-80 938</w:t>
            </w:r>
          </w:p>
        </w:tc>
      </w:tr>
      <w:tr w:rsidR="006813E0" w:rsidRPr="00966FFC" w:rsidTr="00436057">
        <w:trPr>
          <w:trHeight w:val="27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 Le: állami támogatás összege Ft/fő (bértámogatás+üzemeltetési támogatás/64 fő)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-1 050 795</w:t>
            </w:r>
          </w:p>
        </w:tc>
      </w:tr>
      <w:tr w:rsidR="006813E0" w:rsidRPr="00966FFC" w:rsidTr="00436057">
        <w:trPr>
          <w:trHeight w:val="270"/>
        </w:trPr>
        <w:tc>
          <w:tcPr>
            <w:tcW w:w="5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 bértámogatás (felsőfokú végzettségű kisgyermeknevelők)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30 933 000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813E0" w:rsidRPr="00966FFC" w:rsidTr="00436057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 bértámogatás (középfokú végzettségű kisgyermeknevelők)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24 841 900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813E0" w:rsidRPr="00966FFC" w:rsidTr="00436057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- üzemeltetési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11 476 000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813E0" w:rsidRPr="00966FFC" w:rsidTr="00436057">
        <w:trPr>
          <w:trHeight w:val="270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 állami támogatás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67 250 900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1 050 795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6813E0" w:rsidRPr="00966FFC" w:rsidTr="00436057">
        <w:trPr>
          <w:trHeight w:val="540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Gondozásra számított intézményi térítési díj 328/2011. Korm. Rend. 9.§. (1) Ft/fő/év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426 853</w:t>
            </w:r>
          </w:p>
        </w:tc>
      </w:tr>
      <w:tr w:rsidR="006813E0" w:rsidRPr="00966FFC" w:rsidTr="00436057">
        <w:trPr>
          <w:trHeight w:val="649"/>
        </w:trPr>
        <w:tc>
          <w:tcPr>
            <w:tcW w:w="8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3E0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 xml:space="preserve">Időszakos gyermekfelügyelet napidíja </w:t>
            </w: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328/2011. Korm. Rend. 9.§. (4) </w:t>
            </w:r>
            <w:proofErr w:type="spellStart"/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bek</w:t>
            </w:r>
            <w:proofErr w:type="spellEnd"/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  <w:p w:rsidR="006813E0" w:rsidRPr="00966FFC" w:rsidRDefault="006813E0" w:rsidP="00436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Maximális óradíj = Éves szolgáltatási önköltség / 230 nap / 12 </w:t>
            </w:r>
            <w:proofErr w:type="gramStart"/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óra                                               Bruttó</w:t>
            </w:r>
            <w:proofErr w:type="gramEnd"/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összeg Ft/fő/óra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3E0" w:rsidRPr="00966FFC" w:rsidRDefault="006813E0" w:rsidP="004360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66FF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565</w:t>
            </w:r>
          </w:p>
        </w:tc>
      </w:tr>
    </w:tbl>
    <w:p w:rsidR="006813E0" w:rsidRPr="00176C0C" w:rsidRDefault="006813E0" w:rsidP="0068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3E0" w:rsidRDefault="006F2B52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Döntésemről tájékoztatom a Tiszavasvári Bölcsőde intézményvezetőjét és a Városi Kincstár vezetőjét. </w:t>
      </w:r>
    </w:p>
    <w:p w:rsidR="006F2B52" w:rsidRPr="000539EB" w:rsidRDefault="006F2B52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E0" w:rsidRPr="000539EB" w:rsidRDefault="006813E0" w:rsidP="006813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6813E0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b/>
          <w:i/>
          <w:sz w:val="24"/>
          <w:szCs w:val="24"/>
        </w:rPr>
        <w:t>2019. évben 2 alkalommal módosította</w:t>
      </w:r>
      <w:r>
        <w:rPr>
          <w:rFonts w:ascii="Times New Roman" w:hAnsi="Times New Roman" w:cs="Times New Roman"/>
          <w:sz w:val="24"/>
          <w:szCs w:val="24"/>
        </w:rPr>
        <w:t xml:space="preserve"> a gyermekjóléti, gyermekvédelmi ellátások, valamint a személyes gondoskodást nyújtó ellátások igénybevételéért fizetendő térítési díjakat. </w:t>
      </w:r>
      <w:r w:rsidRPr="00BF6473">
        <w:rPr>
          <w:rFonts w:ascii="Times New Roman" w:hAnsi="Times New Roman" w:cs="Times New Roman"/>
          <w:b/>
          <w:i/>
          <w:sz w:val="24"/>
          <w:szCs w:val="24"/>
        </w:rPr>
        <w:t>A 6/2018 (III. 29.) önkormányzati rendelet 1. és 2. sz. mellékletei ennek eredménye</w:t>
      </w:r>
      <w:r>
        <w:rPr>
          <w:rFonts w:ascii="Times New Roman" w:hAnsi="Times New Roman" w:cs="Times New Roman"/>
          <w:b/>
          <w:i/>
          <w:sz w:val="24"/>
          <w:szCs w:val="24"/>
        </w:rPr>
        <w:t>képpen módosításra kerültek a 20/2019. (V. 31</w:t>
      </w:r>
      <w:r w:rsidRPr="00BF6473">
        <w:rPr>
          <w:rFonts w:ascii="Times New Roman" w:hAnsi="Times New Roman" w:cs="Times New Roman"/>
          <w:b/>
          <w:i/>
          <w:sz w:val="24"/>
          <w:szCs w:val="24"/>
        </w:rPr>
        <w:t>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és a 42/2019. (XII.19.) önkormányzati rendeletekkel. </w:t>
      </w:r>
      <w:r w:rsidRPr="004A6A38">
        <w:rPr>
          <w:rFonts w:ascii="Times New Roman" w:hAnsi="Times New Roman" w:cs="Times New Roman"/>
          <w:b/>
          <w:i/>
          <w:sz w:val="24"/>
          <w:szCs w:val="24"/>
          <w:u w:val="single"/>
        </w:rPr>
        <w:t>A módosítás indokai az alábbiak voltak: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62A1" w:rsidRPr="004A6A38" w:rsidRDefault="00E362A1" w:rsidP="00E362A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38">
        <w:rPr>
          <w:rFonts w:ascii="Times New Roman" w:hAnsi="Times New Roman" w:cs="Times New Roman"/>
          <w:sz w:val="24"/>
          <w:szCs w:val="24"/>
        </w:rPr>
        <w:t xml:space="preserve">A Tiszavasvári Bölcsőde 2019. január 1-jétől adózás szempontjából áttért az alanyi mentességre. Ezt követően a térítési díjakat ÁFA </w:t>
      </w:r>
      <w:proofErr w:type="gramStart"/>
      <w:r w:rsidRPr="004A6A38">
        <w:rPr>
          <w:rFonts w:ascii="Times New Roman" w:hAnsi="Times New Roman" w:cs="Times New Roman"/>
          <w:sz w:val="24"/>
          <w:szCs w:val="24"/>
        </w:rPr>
        <w:t>mentesen</w:t>
      </w:r>
      <w:proofErr w:type="gramEnd"/>
      <w:r w:rsidRPr="004A6A38">
        <w:rPr>
          <w:rFonts w:ascii="Times New Roman" w:hAnsi="Times New Roman" w:cs="Times New Roman"/>
          <w:sz w:val="24"/>
          <w:szCs w:val="24"/>
        </w:rPr>
        <w:t xml:space="preserve"> kell kiszámlázni a szülők részére. </w:t>
      </w:r>
    </w:p>
    <w:p w:rsidR="00E362A1" w:rsidRDefault="00E362A1" w:rsidP="00E362A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38">
        <w:rPr>
          <w:rFonts w:ascii="Times New Roman" w:hAnsi="Times New Roman" w:cs="Times New Roman"/>
          <w:sz w:val="24"/>
          <w:szCs w:val="24"/>
        </w:rPr>
        <w:t>Mindezek miatt szüksége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6A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é vált</w:t>
      </w:r>
      <w:r w:rsidRPr="004A6A38">
        <w:rPr>
          <w:rFonts w:ascii="Times New Roman" w:hAnsi="Times New Roman" w:cs="Times New Roman"/>
          <w:sz w:val="24"/>
          <w:szCs w:val="24"/>
        </w:rPr>
        <w:t xml:space="preserve"> a gyermekjóléti rendelet 1. sz. mellékletében meghatározott térítési díjak ÁFA nélküli összegeire módosítása, és meghatározása, de ez a szülők által fizetendő térítési díjak összegeine</w:t>
      </w:r>
      <w:r>
        <w:rPr>
          <w:rFonts w:ascii="Times New Roman" w:hAnsi="Times New Roman" w:cs="Times New Roman"/>
          <w:sz w:val="24"/>
          <w:szCs w:val="24"/>
        </w:rPr>
        <w:t>k változását nem eredményezte.</w:t>
      </w:r>
    </w:p>
    <w:p w:rsidR="00E362A1" w:rsidRPr="004A6A38" w:rsidRDefault="00E362A1" w:rsidP="00E362A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A1" w:rsidRPr="004A6A38" w:rsidRDefault="00E362A1" w:rsidP="00E362A1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6A38">
        <w:rPr>
          <w:rFonts w:ascii="Times New Roman" w:hAnsi="Times New Roman" w:cs="Times New Roman"/>
          <w:sz w:val="24"/>
          <w:szCs w:val="24"/>
        </w:rPr>
        <w:t xml:space="preserve">A Tiszavasvári Bölcsőde és a </w:t>
      </w:r>
      <w:proofErr w:type="spellStart"/>
      <w:r w:rsidRPr="004A6A3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4A6A38">
        <w:rPr>
          <w:rFonts w:ascii="Times New Roman" w:hAnsi="Times New Roman" w:cs="Times New Roman"/>
          <w:sz w:val="24"/>
          <w:szCs w:val="24"/>
        </w:rPr>
        <w:t xml:space="preserve"> Kft. ügyvezetője is étkezési </w:t>
      </w:r>
      <w:proofErr w:type="gramStart"/>
      <w:r w:rsidRPr="004A6A38">
        <w:rPr>
          <w:rFonts w:ascii="Times New Roman" w:hAnsi="Times New Roman" w:cs="Times New Roman"/>
          <w:sz w:val="24"/>
          <w:szCs w:val="24"/>
        </w:rPr>
        <w:t>norma emelési</w:t>
      </w:r>
      <w:proofErr w:type="gramEnd"/>
      <w:r w:rsidRPr="004A6A38">
        <w:rPr>
          <w:rFonts w:ascii="Times New Roman" w:hAnsi="Times New Roman" w:cs="Times New Roman"/>
          <w:sz w:val="24"/>
          <w:szCs w:val="24"/>
        </w:rPr>
        <w:t xml:space="preserve"> kérelmet küldött az Önkormányzat részére, melyek miatt szüksége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6A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é vált</w:t>
      </w:r>
      <w:r w:rsidRPr="004A6A38">
        <w:rPr>
          <w:rFonts w:ascii="Times New Roman" w:hAnsi="Times New Roman" w:cs="Times New Roman"/>
          <w:sz w:val="24"/>
          <w:szCs w:val="24"/>
        </w:rPr>
        <w:t xml:space="preserve"> a gyermekjóléti rendelet 1. és 2. sz. mellékleteiben meghatározott térítési díjak em</w:t>
      </w:r>
      <w:r>
        <w:rPr>
          <w:rFonts w:ascii="Times New Roman" w:hAnsi="Times New Roman" w:cs="Times New Roman"/>
          <w:sz w:val="24"/>
          <w:szCs w:val="24"/>
        </w:rPr>
        <w:t>elése is. Az új térítési díjak</w:t>
      </w:r>
      <w:r w:rsidRPr="004A6A38">
        <w:rPr>
          <w:rFonts w:ascii="Times New Roman" w:hAnsi="Times New Roman" w:cs="Times New Roman"/>
          <w:sz w:val="24"/>
          <w:szCs w:val="24"/>
        </w:rPr>
        <w:t xml:space="preserve"> 2020. február 1-jétől </w:t>
      </w:r>
      <w:r>
        <w:rPr>
          <w:rFonts w:ascii="Times New Roman" w:hAnsi="Times New Roman" w:cs="Times New Roman"/>
          <w:sz w:val="24"/>
          <w:szCs w:val="24"/>
        </w:rPr>
        <w:t>kerültek bevezetésre.</w:t>
      </w:r>
      <w:r w:rsidRPr="004A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A1" w:rsidRPr="00966FFC" w:rsidRDefault="00E362A1" w:rsidP="00E362A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25">
        <w:rPr>
          <w:rFonts w:ascii="Times New Roman" w:hAnsi="Times New Roman" w:cs="Times New Roman"/>
          <w:sz w:val="24"/>
          <w:szCs w:val="24"/>
        </w:rPr>
        <w:t xml:space="preserve">A gyermekétkeztetés biztosítása az önkormányzat kötelező feladatai közé tartozik, melyet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836A25">
        <w:rPr>
          <w:rFonts w:ascii="Times New Roman" w:hAnsi="Times New Roman" w:cs="Times New Roman"/>
          <w:sz w:val="24"/>
          <w:szCs w:val="24"/>
        </w:rPr>
        <w:t xml:space="preserve"> Kft. és a gyermekek napközbeni ellátása – bölcsőde - tekintetében a Tiszavasvári Bölcsőde útján biztosít az önkormányzat.</w:t>
      </w: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A1" w:rsidRPr="00F1733D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36DE">
        <w:rPr>
          <w:rFonts w:ascii="Times New Roman" w:hAnsi="Times New Roman" w:cs="Times New Roman"/>
          <w:b/>
          <w:i/>
          <w:sz w:val="24"/>
          <w:szCs w:val="24"/>
        </w:rPr>
        <w:t xml:space="preserve">Jelen </w:t>
      </w:r>
      <w:r>
        <w:rPr>
          <w:rFonts w:ascii="Times New Roman" w:hAnsi="Times New Roman" w:cs="Times New Roman"/>
          <w:b/>
          <w:i/>
          <w:sz w:val="24"/>
          <w:szCs w:val="24"/>
        </w:rPr>
        <w:t>döntés</w:t>
      </w:r>
      <w:r w:rsidRPr="007336DE">
        <w:rPr>
          <w:rFonts w:ascii="Times New Roman" w:hAnsi="Times New Roman" w:cs="Times New Roman"/>
          <w:b/>
          <w:i/>
          <w:sz w:val="24"/>
          <w:szCs w:val="24"/>
        </w:rPr>
        <w:t xml:space="preserve"> indoka, hogy a gyermekek védelméről és a gyámügyi igazgatásról szóló 1997. évi XXXI. tv (Gyvt.) 147. § (3) alapján </w:t>
      </w:r>
      <w:r w:rsidRPr="00F1733D">
        <w:rPr>
          <w:rFonts w:ascii="Times New Roman" w:hAnsi="Times New Roman" w:cs="Times New Roman"/>
          <w:b/>
          <w:i/>
          <w:sz w:val="24"/>
          <w:szCs w:val="24"/>
          <w:u w:val="single"/>
        </w:rPr>
        <w:t>a bölcsőde esetében a szolgáltatási önköltséget</w:t>
      </w:r>
      <w:r w:rsidRPr="007336DE">
        <w:rPr>
          <w:rFonts w:ascii="Times New Roman" w:hAnsi="Times New Roman" w:cs="Times New Roman"/>
          <w:b/>
          <w:i/>
          <w:sz w:val="24"/>
          <w:szCs w:val="24"/>
        </w:rPr>
        <w:t xml:space="preserve"> a tárgyévre tervezett adatok alapján a tárgyév, jelen esetben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2020</w:t>
      </w:r>
      <w:r w:rsidRPr="00F173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április 1-jéig kell megállapítani. </w:t>
      </w:r>
    </w:p>
    <w:p w:rsidR="00E362A1" w:rsidRPr="007336DE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62A1" w:rsidRPr="00404C5E" w:rsidRDefault="00E362A1" w:rsidP="00E362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Az ide vonatkozó Gyvt. jogszabályhelyek a következők: </w:t>
      </w:r>
    </w:p>
    <w:p w:rsidR="00E362A1" w:rsidRPr="007336DE" w:rsidRDefault="00E362A1" w:rsidP="00E362A1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„</w:t>
      </w:r>
      <w:r w:rsidRPr="007336DE">
        <w:rPr>
          <w:b/>
          <w:bCs/>
          <w:i/>
          <w:color w:val="000000"/>
        </w:rPr>
        <w:t>147. §</w:t>
      </w:r>
      <w:r w:rsidRPr="007336DE">
        <w:rPr>
          <w:i/>
          <w:color w:val="000000"/>
        </w:rPr>
        <w:t>(1)A fenntartó jogszabályban meghatározottak szerint megállapítja a 146. § (1) bekezdése szerinti ellátások intézményi térítési díját, amely – a gyermekétkeztetés kivételével – a szolgáltatási önköltség és a központi költségvetésről szóló törvényben biztosított támogatás különbözete.</w:t>
      </w:r>
    </w:p>
    <w:p w:rsidR="00E362A1" w:rsidRPr="007336DE" w:rsidRDefault="00E362A1" w:rsidP="00E362A1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>(2)</w:t>
      </w:r>
      <w:r>
        <w:rPr>
          <w:i/>
          <w:color w:val="000000"/>
          <w:vertAlign w:val="superscript"/>
        </w:rPr>
        <w:t xml:space="preserve"> </w:t>
      </w:r>
      <w:r w:rsidRPr="007336DE">
        <w:rPr>
          <w:i/>
          <w:color w:val="000000"/>
        </w:rPr>
        <w:t>A bölcsőde, mini bölcsőde esetében az intézményi térítési díjat külön meg kell határozni a gyermek gondozására, nevelésére, nappali felügyeletére és a vele történő foglalkozásra (a továbbiakban együtt: gondozására), valamint a 151. § (3) bekezdésében foglaltak szerint a gyermekétkeztetésre vonatkozóan.</w:t>
      </w:r>
    </w:p>
    <w:p w:rsidR="00E362A1" w:rsidRDefault="00E362A1" w:rsidP="00E362A1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t xml:space="preserve">(3) </w:t>
      </w:r>
      <w:r w:rsidRPr="009B6BB9">
        <w:rPr>
          <w:b/>
          <w:i/>
          <w:color w:val="000000"/>
        </w:rPr>
        <w:t>A szolgáltatási önköltséget a tárgyévre tervezett adatok alapján a tárgyév április elsejéig kell megállapítani.</w:t>
      </w:r>
      <w:r w:rsidRPr="007336DE">
        <w:rPr>
          <w:i/>
          <w:color w:val="000000"/>
        </w:rPr>
        <w:t xml:space="preserve"> A szolgáltatási önköltség év közben egy alkalommal korrigálható, ha azt a tárgyidőszaki folyamatok indokolják.</w:t>
      </w:r>
    </w:p>
    <w:p w:rsidR="0007154B" w:rsidRDefault="0007154B" w:rsidP="00E362A1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</w:p>
    <w:p w:rsidR="0007154B" w:rsidRPr="007336DE" w:rsidRDefault="0007154B" w:rsidP="00E362A1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bookmarkStart w:id="0" w:name="_GoBack"/>
      <w:bookmarkEnd w:id="0"/>
    </w:p>
    <w:p w:rsidR="00E362A1" w:rsidRPr="007336DE" w:rsidRDefault="00E362A1" w:rsidP="00E362A1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7336DE">
        <w:rPr>
          <w:i/>
          <w:color w:val="000000"/>
        </w:rPr>
        <w:lastRenderedPageBreak/>
        <w:t>(4) A fenntartó az intézményi térítési díjat az (1) bekezdés szerint kiszámított és külön jogszabály szerint dokumentált térítési díjnál alacsonyabb összegben is meghatározhatja.</w:t>
      </w:r>
      <w:r>
        <w:rPr>
          <w:i/>
          <w:color w:val="000000"/>
        </w:rPr>
        <w:t>”</w:t>
      </w:r>
    </w:p>
    <w:p w:rsidR="00E362A1" w:rsidRPr="007336DE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362A1" w:rsidRPr="009B6BB9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</w:t>
      </w:r>
      <w:r w:rsidRPr="009B6BB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146. §</w:t>
      </w:r>
      <w:r w:rsidRPr="009B6BB9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</w:rPr>
        <w:t xml:space="preserve"> 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</w:rPr>
        <w:t>(1)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Ha e törvény másként nem rendelkezik, a személyes gondoskodást nyújtó gyermekjóléti alapellátás keretében biztosított </w:t>
      </w:r>
      <w:r w:rsidRPr="009B6BB9">
        <w:rPr>
          <w:rFonts w:ascii="Times New Roman" w:hAnsi="Times New Roman" w:cs="Times New Roman"/>
          <w:b/>
          <w:i/>
          <w:color w:val="000000"/>
          <w:sz w:val="24"/>
          <w:szCs w:val="24"/>
        </w:rPr>
        <w:t>gyermekek napközbeni ellátásáért</w:t>
      </w:r>
      <w:r w:rsidRPr="009B6B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és gyermekek átmeneti gondozásáért, valamint a személyes gondoskodást nyújtó gyermekvédelmi szakellátás keretében biztosított utógondozói ellátásért, </w:t>
      </w:r>
      <w:r w:rsidRPr="009B6BB9">
        <w:rPr>
          <w:rFonts w:ascii="Times New Roman" w:hAnsi="Times New Roman" w:cs="Times New Roman"/>
          <w:b/>
          <w:i/>
          <w:color w:val="000000"/>
          <w:sz w:val="24"/>
          <w:szCs w:val="24"/>
        </w:rPr>
        <w:t>valamint a gyermekétkeztetésért térítési díjat kell fizetni.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:rsidR="00E362A1" w:rsidRPr="009B6BB9" w:rsidRDefault="00E362A1" w:rsidP="00E362A1">
      <w:pPr>
        <w:pStyle w:val="NormlWeb"/>
        <w:spacing w:before="0" w:beforeAutospacing="0" w:after="0" w:afterAutospacing="0"/>
        <w:jc w:val="both"/>
        <w:rPr>
          <w:rFonts w:eastAsiaTheme="minorHAnsi"/>
          <w:b/>
          <w:i/>
          <w:lang w:eastAsia="en-US"/>
        </w:rPr>
      </w:pPr>
    </w:p>
    <w:p w:rsidR="00E362A1" w:rsidRPr="009B6BB9" w:rsidRDefault="00E362A1" w:rsidP="00E362A1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i/>
        </w:rPr>
        <w:t>„</w:t>
      </w:r>
      <w:r w:rsidRPr="009B6BB9">
        <w:rPr>
          <w:b/>
          <w:i/>
        </w:rPr>
        <w:t>15 §</w:t>
      </w:r>
      <w:r w:rsidRPr="009B6BB9">
        <w:rPr>
          <w:i/>
          <w:color w:val="000000"/>
        </w:rPr>
        <w:t xml:space="preserve"> (2) A személyes gondoskodás keretébe tartozó </w:t>
      </w:r>
      <w:r w:rsidRPr="009B6BB9">
        <w:rPr>
          <w:b/>
          <w:i/>
          <w:color w:val="000000"/>
        </w:rPr>
        <w:t>gyermekjóléti alapellátások</w:t>
      </w:r>
      <w:r w:rsidRPr="009B6BB9">
        <w:rPr>
          <w:i/>
          <w:color w:val="000000"/>
        </w:rPr>
        <w:t>:</w:t>
      </w:r>
    </w:p>
    <w:p w:rsidR="00E362A1" w:rsidRPr="009B6BB9" w:rsidRDefault="00E362A1" w:rsidP="00E362A1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9B6BB9">
        <w:rPr>
          <w:i/>
          <w:iCs/>
          <w:color w:val="000000"/>
        </w:rPr>
        <w:t>a</w:t>
      </w:r>
      <w:proofErr w:type="gramEnd"/>
      <w:r w:rsidRPr="009B6BB9">
        <w:rPr>
          <w:i/>
          <w:iCs/>
          <w:color w:val="000000"/>
        </w:rPr>
        <w:t>)</w:t>
      </w:r>
      <w:r w:rsidRPr="009B6BB9">
        <w:rPr>
          <w:i/>
          <w:color w:val="000000"/>
        </w:rPr>
        <w:t xml:space="preserve"> </w:t>
      </w:r>
      <w:proofErr w:type="spellStart"/>
      <w:r w:rsidRPr="009B6BB9">
        <w:rPr>
          <w:i/>
          <w:color w:val="000000"/>
        </w:rPr>
        <w:t>a</w:t>
      </w:r>
      <w:proofErr w:type="spellEnd"/>
      <w:r w:rsidRPr="009B6BB9">
        <w:rPr>
          <w:i/>
          <w:color w:val="000000"/>
        </w:rPr>
        <w:t xml:space="preserve"> gyermekjóléti szolgáltatás,</w:t>
      </w:r>
    </w:p>
    <w:p w:rsidR="00E362A1" w:rsidRPr="009B6BB9" w:rsidRDefault="00E362A1" w:rsidP="00E362A1">
      <w:pPr>
        <w:pStyle w:val="NormlWeb"/>
        <w:spacing w:before="0" w:beforeAutospacing="0" w:after="0" w:afterAutospacing="0"/>
        <w:jc w:val="both"/>
        <w:rPr>
          <w:b/>
          <w:i/>
          <w:color w:val="000000"/>
        </w:rPr>
      </w:pPr>
      <w:r w:rsidRPr="009B6BB9">
        <w:rPr>
          <w:i/>
          <w:iCs/>
          <w:color w:val="000000"/>
        </w:rPr>
        <w:t>b)</w:t>
      </w:r>
      <w:r w:rsidRPr="009B6BB9">
        <w:rPr>
          <w:i/>
          <w:color w:val="000000"/>
        </w:rPr>
        <w:t xml:space="preserve"> </w:t>
      </w:r>
      <w:r w:rsidRPr="009B6BB9">
        <w:rPr>
          <w:b/>
          <w:i/>
          <w:color w:val="000000"/>
        </w:rPr>
        <w:t>a gyermekek napközbeni ellátása,</w:t>
      </w:r>
    </w:p>
    <w:p w:rsidR="00E362A1" w:rsidRPr="009B6BB9" w:rsidRDefault="00E362A1" w:rsidP="00E362A1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c)</w:t>
      </w:r>
      <w:r w:rsidRPr="009B6BB9">
        <w:rPr>
          <w:i/>
          <w:color w:val="000000"/>
        </w:rPr>
        <w:t xml:space="preserve"> a gyermekek átmeneti gondozása,</w:t>
      </w:r>
    </w:p>
    <w:p w:rsidR="00E362A1" w:rsidRPr="009B6BB9" w:rsidRDefault="00E362A1" w:rsidP="00E362A1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9B6BB9">
        <w:rPr>
          <w:i/>
          <w:iCs/>
          <w:color w:val="000000"/>
        </w:rPr>
        <w:t>d)</w:t>
      </w:r>
      <w:r w:rsidRPr="009B6BB9">
        <w:rPr>
          <w:i/>
          <w:iCs/>
          <w:color w:val="000000"/>
          <w:vertAlign w:val="superscript"/>
        </w:rPr>
        <w:t xml:space="preserve"> </w:t>
      </w:r>
      <w:r w:rsidRPr="009B6BB9">
        <w:rPr>
          <w:i/>
          <w:color w:val="000000"/>
        </w:rPr>
        <w:t>gyermekek esélynövelő szolgáltatásai.</w:t>
      </w:r>
      <w:r>
        <w:rPr>
          <w:i/>
          <w:color w:val="000000"/>
        </w:rPr>
        <w:t>”</w:t>
      </w:r>
    </w:p>
    <w:p w:rsidR="00E362A1" w:rsidRPr="009B6BB9" w:rsidRDefault="00E362A1" w:rsidP="00E362A1">
      <w:pPr>
        <w:spacing w:after="0" w:line="240" w:lineRule="auto"/>
        <w:rPr>
          <w:rFonts w:ascii="Times New Roman" w:hAnsi="Times New Roman" w:cs="Times New Roman"/>
          <w:i/>
        </w:rPr>
      </w:pPr>
    </w:p>
    <w:p w:rsidR="00E362A1" w:rsidRPr="00404C5E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A személyes gondoskodást nyújtó gyermekjóléti alapellátások és gyermekvédelmi szakellátások térítési díjáról és igénylésükhöz felhasználható bizonyítékokról szóló 328/2011 (XII. 29.) Korm. rendelet </w:t>
      </w:r>
      <w:r>
        <w:rPr>
          <w:rFonts w:ascii="Times New Roman" w:hAnsi="Times New Roman" w:cs="Times New Roman"/>
          <w:b/>
          <w:i/>
          <w:sz w:val="24"/>
          <w:szCs w:val="24"/>
        </w:rPr>
        <w:t>3. Gyermekek napközbeni ellátására vonatkozó pontja 9. §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404C5E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proofErr w:type="gramEnd"/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404C5E">
        <w:rPr>
          <w:rFonts w:ascii="Times New Roman" w:hAnsi="Times New Roman" w:cs="Times New Roman"/>
          <w:b/>
          <w:i/>
          <w:sz w:val="24"/>
          <w:szCs w:val="24"/>
        </w:rPr>
        <w:t xml:space="preserve">következőket szabályozza: </w:t>
      </w: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A1" w:rsidRPr="00404C5E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bCs/>
          <w:i/>
          <w:color w:val="000000"/>
        </w:rPr>
        <w:t>„</w:t>
      </w:r>
      <w:r w:rsidRPr="00404C5E">
        <w:rPr>
          <w:b/>
          <w:bCs/>
          <w:i/>
          <w:color w:val="000000"/>
        </w:rPr>
        <w:t>9. §</w:t>
      </w:r>
      <w:r>
        <w:rPr>
          <w:b/>
          <w:bCs/>
          <w:i/>
          <w:color w:val="000000"/>
        </w:rPr>
        <w:t xml:space="preserve"> </w:t>
      </w:r>
      <w:r w:rsidRPr="00404C5E">
        <w:rPr>
          <w:i/>
          <w:color w:val="000000"/>
        </w:rPr>
        <w:t>(1)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Bölcsőde, mini bölcsőde esetében a gyermek Gyvt. 147. § (2) bekezdés szerinti gondozására számított intézményi térítési díj az élelmezés nyersanyagköltségével csökkentett szolgáltatási önköltség és a normatív állami hozzájárulás összegének különbözete. Az élelmezés nyersanyagköltségének meghatározásakor az általános forgalmi adóval növelt összeget kell figyelembe venni.</w:t>
      </w:r>
    </w:p>
    <w:p w:rsidR="00E362A1" w:rsidRPr="00404C5E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(2)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Ha a bölcsődében, mini bölcsődében a gondozásért külön nem kívánnak személyi térítési díjat megállapítani, az intézményi térítési díj összegét nullában kell meghatározni és írásban dokumentálni.</w:t>
      </w:r>
    </w:p>
    <w:p w:rsidR="00E362A1" w:rsidRPr="00404C5E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(3)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A bölcsődei, mini bölcsődei gondozás személyi térítési díját – a fenntartó eltérő döntése hiányában – akkor is teljes hónapra kell megállapítani, ha a gyermek az ellátást a hónap nem minden napján veszi igénybe.</w:t>
      </w:r>
    </w:p>
    <w:p w:rsidR="00E362A1" w:rsidRPr="00404C5E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404C5E">
        <w:rPr>
          <w:i/>
          <w:color w:val="000000"/>
        </w:rPr>
        <w:t>(4)</w:t>
      </w:r>
      <w:r>
        <w:rPr>
          <w:i/>
          <w:color w:val="000000"/>
          <w:vertAlign w:val="superscript"/>
        </w:rPr>
        <w:t xml:space="preserve"> </w:t>
      </w:r>
      <w:r w:rsidRPr="00404C5E">
        <w:rPr>
          <w:i/>
          <w:color w:val="000000"/>
        </w:rPr>
        <w:t>A bölcsődei ellátást nyújtó intézmény, szolgáltató alapellátáson túli szolgáltatásaiért legfeljebb a szolgáltatás önköltségét meg nem haladó mértékű térítés kérhető.</w:t>
      </w:r>
      <w:r>
        <w:rPr>
          <w:i/>
          <w:color w:val="000000"/>
        </w:rPr>
        <w:t>”</w:t>
      </w:r>
    </w:p>
    <w:p w:rsidR="00E362A1" w:rsidRPr="00961295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A1" w:rsidRPr="001F60A9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A Tiszavasvári Bölcsőde </w:t>
      </w:r>
      <w:r w:rsidRPr="001F60A9">
        <w:rPr>
          <w:rFonts w:ascii="Times New Roman" w:hAnsi="Times New Roman" w:cs="Times New Roman"/>
          <w:b/>
          <w:i/>
          <w:sz w:val="24"/>
          <w:szCs w:val="24"/>
          <w:u w:val="single"/>
        </w:rPr>
        <w:t>időszakos gyermekfelügyeletet</w:t>
      </w:r>
      <w:r w:rsidRPr="001F60A9">
        <w:rPr>
          <w:rFonts w:ascii="Times New Roman" w:hAnsi="Times New Roman" w:cs="Times New Roman"/>
          <w:sz w:val="24"/>
          <w:szCs w:val="24"/>
          <w:u w:val="single"/>
        </w:rPr>
        <w:t xml:space="preserve"> is biztosít, mellyel kapcsolatban sz</w:t>
      </w:r>
      <w:r>
        <w:rPr>
          <w:rFonts w:ascii="Times New Roman" w:hAnsi="Times New Roman" w:cs="Times New Roman"/>
          <w:sz w:val="24"/>
          <w:szCs w:val="24"/>
          <w:u w:val="single"/>
        </w:rPr>
        <w:t>intén kiszámításra került a 2020</w:t>
      </w:r>
      <w:r w:rsidRPr="001F60A9">
        <w:rPr>
          <w:rFonts w:ascii="Times New Roman" w:hAnsi="Times New Roman" w:cs="Times New Roman"/>
          <w:sz w:val="24"/>
          <w:szCs w:val="24"/>
          <w:u w:val="single"/>
        </w:rPr>
        <w:t>. évre vonatkozó önköltség.</w:t>
      </w:r>
    </w:p>
    <w:p w:rsidR="00E362A1" w:rsidRDefault="00E362A1" w:rsidP="00E362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62A1" w:rsidRPr="001F60A9" w:rsidRDefault="00E362A1" w:rsidP="00E362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60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 ehhez kapcsolódó jogszabályhelyek az alábbiak: </w:t>
      </w:r>
    </w:p>
    <w:p w:rsidR="00E362A1" w:rsidRPr="001F60A9" w:rsidRDefault="00E362A1" w:rsidP="00E362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96C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 személyes gondoskodást nyújtó gyermekjóléti, gyermekvédelmi intézmények, valamint személyek szakmai feladatairól és működésük feltételeiről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szóló 15/1998. (IV. 30.) NM rendelet 40 § (1) az alábbiakat szabályozza: </w:t>
      </w: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362A1" w:rsidRPr="009357DD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„</w:t>
      </w:r>
      <w:r w:rsidRPr="009357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40. §</w:t>
      </w:r>
      <w:r w:rsidRPr="009357DD">
        <w:rPr>
          <w:rFonts w:ascii="Times New Roman" w:hAnsi="Times New Roman" w:cs="Times New Roman"/>
          <w:i/>
          <w:color w:val="000000"/>
          <w:sz w:val="24"/>
          <w:szCs w:val="24"/>
        </w:rPr>
        <w:t>(1) A Gyvt. 42. § (4) bekezdése szerinti szolgáltatások biztosítása nem veszélyeztetheti a bölcsődei ellátás keretében kötelezően nyújtandó, a Gyvt. 42. § (1) bekezdésében foglalt ellátás biztosítását. A Gyvt. 42. § (4) bekezdése szerinti szolgáltatásokért külön térítési díj kérhető.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2B52" w:rsidRDefault="006F2B52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2B52" w:rsidRDefault="006F2B52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2B52" w:rsidRPr="00696CE3" w:rsidRDefault="006F2B52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62A1" w:rsidRPr="009357DD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357DD">
        <w:rPr>
          <w:rFonts w:ascii="Times New Roman" w:hAnsi="Times New Roman" w:cs="Times New Roman"/>
          <w:b/>
          <w:i/>
          <w:sz w:val="24"/>
          <w:szCs w:val="24"/>
        </w:rPr>
        <w:t>Gyvt</w:t>
      </w:r>
      <w:proofErr w:type="spellEnd"/>
      <w:r w:rsidRPr="009357DD">
        <w:rPr>
          <w:rFonts w:ascii="Times New Roman" w:hAnsi="Times New Roman" w:cs="Times New Roman"/>
          <w:b/>
          <w:i/>
          <w:sz w:val="24"/>
          <w:szCs w:val="24"/>
        </w:rPr>
        <w:t xml:space="preserve"> 42.§</w:t>
      </w:r>
      <w:proofErr w:type="spellStart"/>
      <w:r w:rsidRPr="009357DD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9357DD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proofErr w:type="gramEnd"/>
      <w:r w:rsidRPr="009357D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62A1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62A1" w:rsidRPr="009357DD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b/>
          <w:i/>
          <w:color w:val="000000"/>
        </w:rPr>
      </w:pPr>
      <w:r w:rsidRPr="009357DD">
        <w:rPr>
          <w:i/>
        </w:rPr>
        <w:t>„</w:t>
      </w:r>
      <w:r w:rsidRPr="009357DD">
        <w:rPr>
          <w:b/>
          <w:bCs/>
          <w:i/>
          <w:color w:val="000000"/>
        </w:rPr>
        <w:t>42. §</w:t>
      </w:r>
      <w:r>
        <w:rPr>
          <w:b/>
          <w:bCs/>
          <w:i/>
          <w:color w:val="000000"/>
          <w:vertAlign w:val="superscript"/>
        </w:rPr>
        <w:t xml:space="preserve"> </w:t>
      </w:r>
      <w:r w:rsidRPr="009357DD">
        <w:rPr>
          <w:b/>
          <w:i/>
          <w:color w:val="000000"/>
        </w:rPr>
        <w:t>(1) A bölcsődei ellátás keretében – ha e törvény kivételt nem tesz – a három éven aluli gyermekek napközbeni ellátását kell biztosítani.</w:t>
      </w:r>
    </w:p>
    <w:p w:rsidR="00E362A1" w:rsidRPr="009357DD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9357DD">
        <w:rPr>
          <w:i/>
          <w:color w:val="000000"/>
        </w:rPr>
        <w:t>(2) Bölcsődei ellátást biztosíthat a bölcsőde, a mini bölcsőde, a munkahelyi bölcsőde és a családi bölcsőde.</w:t>
      </w:r>
    </w:p>
    <w:p w:rsidR="00E362A1" w:rsidRPr="009357DD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9357DD">
        <w:rPr>
          <w:i/>
          <w:color w:val="000000"/>
        </w:rPr>
        <w:t>(3)</w:t>
      </w:r>
      <w:r>
        <w:rPr>
          <w:i/>
          <w:color w:val="000000"/>
          <w:vertAlign w:val="superscript"/>
        </w:rPr>
        <w:t xml:space="preserve"> </w:t>
      </w:r>
      <w:r w:rsidRPr="009357DD">
        <w:rPr>
          <w:i/>
          <w:color w:val="000000"/>
        </w:rPr>
        <w:t>Bölcsődei ellátás keretében a sajátos nevelési igényű gyermek, valamint a korai fejlesztésre és gondozásra jogosult gyermek nevelése és gondozása is végezhető.</w:t>
      </w:r>
    </w:p>
    <w:p w:rsidR="00E362A1" w:rsidRPr="009357DD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b/>
          <w:i/>
          <w:color w:val="000000"/>
        </w:rPr>
      </w:pPr>
      <w:r w:rsidRPr="009357DD">
        <w:rPr>
          <w:b/>
          <w:i/>
          <w:color w:val="000000"/>
        </w:rPr>
        <w:t>(4) A bölcsődei ellátás keretében az (1) bekezdés szerinti ellátáson túl – szolgáltatásként – speciális tanácsadás, időszakos gyermekfelügyelet, gyermekhotel működtetése vagy más gyermeknevelést segítő szolgáltatás is biztosítható. Ezeket a szolgáltatásokat a gyermek hatodik életévének betöltéséig lehet igénybe venni.</w:t>
      </w:r>
    </w:p>
    <w:p w:rsidR="00E362A1" w:rsidRPr="009357DD" w:rsidRDefault="00E362A1" w:rsidP="00E362A1">
      <w:pPr>
        <w:pStyle w:val="NormlWeb"/>
        <w:spacing w:before="0" w:beforeAutospacing="0" w:after="20" w:afterAutospacing="0"/>
        <w:ind w:firstLine="180"/>
        <w:jc w:val="both"/>
        <w:rPr>
          <w:i/>
          <w:color w:val="000000"/>
        </w:rPr>
      </w:pPr>
      <w:r w:rsidRPr="009357DD">
        <w:rPr>
          <w:i/>
          <w:color w:val="000000"/>
        </w:rPr>
        <w:t>(5) A bölcsődei nevelési év szeptember 1-jétől a következő év augusztus 31-éig tart.</w:t>
      </w:r>
      <w:r>
        <w:rPr>
          <w:i/>
          <w:color w:val="000000"/>
        </w:rPr>
        <w:t>”</w:t>
      </w:r>
    </w:p>
    <w:p w:rsidR="00E362A1" w:rsidRPr="000C48D9" w:rsidRDefault="00E362A1" w:rsidP="00E362A1">
      <w:pPr>
        <w:spacing w:after="0" w:line="240" w:lineRule="auto"/>
        <w:rPr>
          <w:rFonts w:ascii="Times New Roman" w:hAnsi="Times New Roman" w:cs="Times New Roman"/>
        </w:rPr>
      </w:pPr>
    </w:p>
    <w:p w:rsidR="00E362A1" w:rsidRPr="00CB4F77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F77">
        <w:rPr>
          <w:rFonts w:ascii="Times New Roman" w:hAnsi="Times New Roman" w:cs="Times New Roman"/>
          <w:sz w:val="24"/>
          <w:szCs w:val="24"/>
        </w:rPr>
        <w:t>A Tiszavasvári Bölcsőde intézményve</w:t>
      </w:r>
      <w:r>
        <w:rPr>
          <w:rFonts w:ascii="Times New Roman" w:hAnsi="Times New Roman" w:cs="Times New Roman"/>
          <w:sz w:val="24"/>
          <w:szCs w:val="24"/>
        </w:rPr>
        <w:t>zetője megküldte részemre a 2020</w:t>
      </w:r>
      <w:r w:rsidRPr="00CB4F77">
        <w:rPr>
          <w:rFonts w:ascii="Times New Roman" w:hAnsi="Times New Roman" w:cs="Times New Roman"/>
          <w:sz w:val="24"/>
          <w:szCs w:val="24"/>
        </w:rPr>
        <w:t xml:space="preserve">. évi szolgáltatási önköltségre vonatkozó táblázatokat, melyet a Városi Kincstár vezetőjével együtt készítettek el. </w:t>
      </w:r>
    </w:p>
    <w:p w:rsidR="00E362A1" w:rsidRPr="00CB4F77" w:rsidRDefault="00E362A1" w:rsidP="00E362A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362A1" w:rsidRPr="00CB4F77" w:rsidRDefault="00E362A1" w:rsidP="00E3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 térítési díjak változására vonatkozóan javaslat nem érkezett </w:t>
      </w:r>
      <w:r w:rsidRPr="00CB4F77">
        <w:rPr>
          <w:rFonts w:ascii="Times New Roman" w:hAnsi="Times New Roman" w:cs="Times New Roman"/>
          <w:sz w:val="24"/>
          <w:szCs w:val="24"/>
        </w:rPr>
        <w:t xml:space="preserve">az önköltségszámítás eredményeképpen, így </w:t>
      </w:r>
      <w:r>
        <w:rPr>
          <w:rFonts w:ascii="Times New Roman" w:hAnsi="Times New Roman" w:cs="Times New Roman"/>
          <w:sz w:val="24"/>
          <w:szCs w:val="24"/>
        </w:rPr>
        <w:t>azok</w:t>
      </w:r>
      <w:r w:rsidR="00934995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B4F77">
        <w:rPr>
          <w:rFonts w:ascii="Times New Roman" w:hAnsi="Times New Roman" w:cs="Times New Roman"/>
          <w:sz w:val="24"/>
          <w:szCs w:val="24"/>
        </w:rPr>
        <w:t xml:space="preserve"> korábbiakban megállapítottaknak </w:t>
      </w:r>
      <w:r>
        <w:rPr>
          <w:rFonts w:ascii="Times New Roman" w:hAnsi="Times New Roman" w:cs="Times New Roman"/>
          <w:sz w:val="24"/>
          <w:szCs w:val="24"/>
        </w:rPr>
        <w:t>megf</w:t>
      </w:r>
      <w:r w:rsidR="00934995">
        <w:rPr>
          <w:rFonts w:ascii="Times New Roman" w:hAnsi="Times New Roman" w:cs="Times New Roman"/>
          <w:sz w:val="24"/>
          <w:szCs w:val="24"/>
        </w:rPr>
        <w:t>elelően változatlanul fenntartom.</w:t>
      </w:r>
      <w:r w:rsidRPr="00CB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Ennek megfelelően a gyermekjóléti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rendelet módosítását a jegyző nem kezdeményezte.</w:t>
      </w:r>
    </w:p>
    <w:p w:rsidR="006813E0" w:rsidRPr="003F3FBD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0539EB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0539EB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0539EB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0539EB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0539EB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0539EB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0539EB">
        <w:rPr>
          <w:rFonts w:ascii="Times New Roman" w:hAnsi="Times New Roman" w:cs="Times New Roman"/>
          <w:b/>
          <w:sz w:val="24"/>
          <w:szCs w:val="24"/>
        </w:rPr>
        <w:t>gyakorolja.</w:t>
      </w:r>
      <w:r w:rsidRPr="000539EB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E0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Tiszavasvári, 2020. március 27.</w:t>
      </w:r>
    </w:p>
    <w:p w:rsidR="00E362A1" w:rsidRDefault="00E362A1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2A1" w:rsidRPr="000539EB" w:rsidRDefault="00E362A1" w:rsidP="00681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E0" w:rsidRPr="000539EB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813E0" w:rsidRDefault="006813E0" w:rsidP="00681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r w:rsidRPr="000539E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539E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53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2A1" w:rsidRDefault="00E362A1" w:rsidP="00681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BD7" w:rsidRDefault="00373BD7"/>
    <w:sectPr w:rsidR="00373B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52" w:rsidRDefault="006F2B52" w:rsidP="006F2B52">
      <w:pPr>
        <w:spacing w:after="0" w:line="240" w:lineRule="auto"/>
      </w:pPr>
      <w:r>
        <w:separator/>
      </w:r>
    </w:p>
  </w:endnote>
  <w:endnote w:type="continuationSeparator" w:id="0">
    <w:p w:rsidR="006F2B52" w:rsidRDefault="006F2B52" w:rsidP="006F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03943"/>
      <w:docPartObj>
        <w:docPartGallery w:val="Page Numbers (Bottom of Page)"/>
        <w:docPartUnique/>
      </w:docPartObj>
    </w:sdtPr>
    <w:sdtEndPr/>
    <w:sdtContent>
      <w:p w:rsidR="006F2B52" w:rsidRDefault="006F2B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4B">
          <w:rPr>
            <w:noProof/>
          </w:rPr>
          <w:t>2</w:t>
        </w:r>
        <w:r>
          <w:fldChar w:fldCharType="end"/>
        </w:r>
      </w:p>
    </w:sdtContent>
  </w:sdt>
  <w:p w:rsidR="006F2B52" w:rsidRDefault="006F2B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52" w:rsidRDefault="006F2B52" w:rsidP="006F2B52">
      <w:pPr>
        <w:spacing w:after="0" w:line="240" w:lineRule="auto"/>
      </w:pPr>
      <w:r>
        <w:separator/>
      </w:r>
    </w:p>
  </w:footnote>
  <w:footnote w:type="continuationSeparator" w:id="0">
    <w:p w:rsidR="006F2B52" w:rsidRDefault="006F2B52" w:rsidP="006F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B6"/>
    <w:multiLevelType w:val="hybridMultilevel"/>
    <w:tmpl w:val="CF406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57DCB"/>
    <w:multiLevelType w:val="hybridMultilevel"/>
    <w:tmpl w:val="396A2AD8"/>
    <w:lvl w:ilvl="0" w:tplc="EEEEAF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E0"/>
    <w:rsid w:val="0007154B"/>
    <w:rsid w:val="00373BD7"/>
    <w:rsid w:val="006813E0"/>
    <w:rsid w:val="006F2B52"/>
    <w:rsid w:val="00934995"/>
    <w:rsid w:val="00E362A1"/>
    <w:rsid w:val="00E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3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13E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3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2B52"/>
  </w:style>
  <w:style w:type="paragraph" w:styleId="llb">
    <w:name w:val="footer"/>
    <w:basedOn w:val="Norml"/>
    <w:link w:val="llbChar"/>
    <w:uiPriority w:val="99"/>
    <w:unhideWhenUsed/>
    <w:rsid w:val="006F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2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3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13E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3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2B52"/>
  </w:style>
  <w:style w:type="paragraph" w:styleId="llb">
    <w:name w:val="footer"/>
    <w:basedOn w:val="Norml"/>
    <w:link w:val="llbChar"/>
    <w:uiPriority w:val="99"/>
    <w:unhideWhenUsed/>
    <w:rsid w:val="006F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6</cp:revision>
  <dcterms:created xsi:type="dcterms:W3CDTF">2020-03-31T07:58:00Z</dcterms:created>
  <dcterms:modified xsi:type="dcterms:W3CDTF">2020-04-01T07:25:00Z</dcterms:modified>
</cp:coreProperties>
</file>