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AF" w:rsidRPr="00E360AF" w:rsidRDefault="00E360AF" w:rsidP="00E360AF">
      <w:pPr>
        <w:tabs>
          <w:tab w:val="center" w:pos="6521"/>
        </w:tabs>
        <w:spacing w:after="0" w:line="240" w:lineRule="auto"/>
        <w:jc w:val="center"/>
        <w:rPr>
          <w:rFonts w:ascii="Times New Roman" w:eastAsia="Times New Roman" w:hAnsi="Times New Roman" w:cs="Times New Roman"/>
          <w:b/>
          <w:caps/>
          <w:sz w:val="24"/>
          <w:szCs w:val="24"/>
          <w:lang w:eastAsia="hu-HU"/>
        </w:rPr>
      </w:pPr>
      <w:r w:rsidRPr="00E360AF">
        <w:rPr>
          <w:rFonts w:ascii="Times New Roman" w:eastAsia="Times New Roman" w:hAnsi="Times New Roman" w:cs="Times New Roman"/>
          <w:b/>
          <w:caps/>
          <w:sz w:val="24"/>
          <w:szCs w:val="24"/>
          <w:lang w:eastAsia="hu-HU"/>
        </w:rPr>
        <w:t>Tiszavasvári Város Önkormányzata</w:t>
      </w:r>
    </w:p>
    <w:p w:rsidR="00E360AF" w:rsidRPr="00E360AF" w:rsidRDefault="00E360AF" w:rsidP="00E360AF">
      <w:pPr>
        <w:tabs>
          <w:tab w:val="center" w:pos="6521"/>
        </w:tabs>
        <w:spacing w:after="0" w:line="240" w:lineRule="auto"/>
        <w:jc w:val="center"/>
        <w:rPr>
          <w:rFonts w:ascii="Times New Roman" w:eastAsia="Times New Roman" w:hAnsi="Times New Roman" w:cs="Times New Roman"/>
          <w:b/>
          <w:caps/>
          <w:sz w:val="24"/>
          <w:szCs w:val="24"/>
          <w:lang w:eastAsia="hu-HU"/>
        </w:rPr>
      </w:pPr>
      <w:r w:rsidRPr="00E360AF">
        <w:rPr>
          <w:rFonts w:ascii="Times New Roman" w:eastAsia="Times New Roman" w:hAnsi="Times New Roman" w:cs="Times New Roman"/>
          <w:b/>
          <w:caps/>
          <w:sz w:val="24"/>
          <w:szCs w:val="24"/>
          <w:lang w:eastAsia="hu-HU"/>
        </w:rPr>
        <w:t>Képviselő-testületÉNEK</w:t>
      </w:r>
    </w:p>
    <w:p w:rsidR="00E360AF" w:rsidRPr="00E360AF" w:rsidRDefault="00802E8F" w:rsidP="00E360AF">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218</w:t>
      </w:r>
      <w:r w:rsidR="00E360AF" w:rsidRPr="00E360AF">
        <w:rPr>
          <w:rFonts w:ascii="Times New Roman" w:eastAsia="Times New Roman" w:hAnsi="Times New Roman" w:cs="Times New Roman"/>
          <w:b/>
          <w:sz w:val="24"/>
          <w:szCs w:val="24"/>
          <w:lang w:eastAsia="hu-HU"/>
        </w:rPr>
        <w:t xml:space="preserve">/2023. (VIII. 31.) Kt. számú </w:t>
      </w:r>
    </w:p>
    <w:p w:rsidR="00E360AF" w:rsidRPr="00E360AF" w:rsidRDefault="00E360AF" w:rsidP="00E360AF">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E360AF">
        <w:rPr>
          <w:rFonts w:ascii="Times New Roman" w:eastAsia="Times New Roman" w:hAnsi="Times New Roman" w:cs="Times New Roman"/>
          <w:b/>
          <w:sz w:val="24"/>
          <w:szCs w:val="24"/>
          <w:lang w:eastAsia="hu-HU"/>
        </w:rPr>
        <w:t>határozata</w:t>
      </w:r>
      <w:proofErr w:type="gramEnd"/>
    </w:p>
    <w:p w:rsidR="00E360AF" w:rsidRPr="00E360AF" w:rsidRDefault="00E360AF" w:rsidP="00E360AF">
      <w:pPr>
        <w:spacing w:after="0" w:line="240" w:lineRule="auto"/>
        <w:rPr>
          <w:rFonts w:ascii="Times New Roman" w:eastAsia="Times New Roman" w:hAnsi="Times New Roman" w:cs="Times New Roman"/>
          <w:b/>
          <w:sz w:val="24"/>
          <w:szCs w:val="24"/>
          <w:lang w:eastAsia="hu-HU"/>
        </w:rPr>
      </w:pPr>
    </w:p>
    <w:p w:rsidR="00E360AF" w:rsidRPr="00E360AF" w:rsidRDefault="00E360AF" w:rsidP="00E360AF">
      <w:pPr>
        <w:tabs>
          <w:tab w:val="center" w:pos="6521"/>
        </w:tabs>
        <w:spacing w:after="0" w:line="240" w:lineRule="auto"/>
        <w:jc w:val="center"/>
        <w:rPr>
          <w:rFonts w:ascii="Times New Roman" w:eastAsia="Times New Roman" w:hAnsi="Times New Roman" w:cs="Times New Roman"/>
          <w:b/>
          <w:sz w:val="24"/>
          <w:szCs w:val="24"/>
          <w:lang w:eastAsia="hu-HU"/>
        </w:rPr>
      </w:pPr>
      <w:r w:rsidRPr="00E360AF">
        <w:rPr>
          <w:rFonts w:ascii="Times New Roman" w:eastAsia="Times New Roman" w:hAnsi="Times New Roman" w:cs="Times New Roman"/>
          <w:b/>
          <w:sz w:val="24"/>
          <w:szCs w:val="24"/>
          <w:lang w:eastAsia="hu-HU"/>
        </w:rPr>
        <w:t>Önkormányzati ingatlanok tulajdonjogának ingyenes átruházása az Esélytér Intézményfenntartó részére</w:t>
      </w:r>
    </w:p>
    <w:p w:rsidR="00E360AF" w:rsidRPr="00E360AF" w:rsidRDefault="00E360AF" w:rsidP="00E360AF">
      <w:pPr>
        <w:tabs>
          <w:tab w:val="center" w:pos="6521"/>
        </w:tabs>
        <w:spacing w:after="0" w:line="240" w:lineRule="auto"/>
        <w:jc w:val="center"/>
        <w:rPr>
          <w:rFonts w:ascii="Times New Roman" w:eastAsia="Times New Roman" w:hAnsi="Times New Roman" w:cs="Times New Roman"/>
          <w:b/>
          <w:sz w:val="24"/>
          <w:szCs w:val="24"/>
          <w:lang w:eastAsia="hu-HU"/>
        </w:rPr>
      </w:pPr>
    </w:p>
    <w:p w:rsidR="00E360AF" w:rsidRPr="00E360AF" w:rsidRDefault="00E360AF" w:rsidP="00E360AF">
      <w:pPr>
        <w:spacing w:after="0" w:line="240" w:lineRule="auto"/>
        <w:jc w:val="both"/>
        <w:rPr>
          <w:rFonts w:ascii="Times New Roman" w:eastAsia="Times New Roman" w:hAnsi="Times New Roman" w:cs="Times New Roman"/>
          <w:color w:val="FFFFFF"/>
          <w:sz w:val="24"/>
          <w:szCs w:val="24"/>
          <w:lang w:eastAsia="hu-HU"/>
        </w:rPr>
      </w:pPr>
      <w:r w:rsidRPr="00E360AF">
        <w:rPr>
          <w:rFonts w:ascii="Times New Roman" w:eastAsia="Times New Roman" w:hAnsi="Times New Roman" w:cs="Times New Roman"/>
          <w:sz w:val="24"/>
          <w:szCs w:val="24"/>
          <w:lang w:eastAsia="hu-HU"/>
        </w:rPr>
        <w:t>Tiszavasvári Város Önkormányzata Képviselő-testülete az „</w:t>
      </w:r>
      <w:r w:rsidRPr="00E360AF">
        <w:rPr>
          <w:rFonts w:ascii="Times New Roman" w:eastAsia="Times New Roman" w:hAnsi="Times New Roman" w:cs="Times New Roman"/>
          <w:i/>
          <w:sz w:val="24"/>
          <w:szCs w:val="24"/>
          <w:lang w:eastAsia="hu-HU"/>
        </w:rPr>
        <w:t>Önkormányzati ingatlanok tulajdonjogának ingyenes átruházása az Esélytér Intézményfenntartó részére</w:t>
      </w:r>
      <w:r w:rsidRPr="00E360AF">
        <w:rPr>
          <w:rFonts w:ascii="Times New Roman" w:eastAsia="Times New Roman" w:hAnsi="Times New Roman" w:cs="Times New Roman"/>
          <w:b/>
          <w:sz w:val="24"/>
          <w:szCs w:val="24"/>
          <w:lang w:eastAsia="hu-HU"/>
        </w:rPr>
        <w:t xml:space="preserve">” </w:t>
      </w:r>
      <w:r w:rsidRPr="00E360AF">
        <w:rPr>
          <w:rFonts w:ascii="Times New Roman" w:eastAsia="Times New Roman" w:hAnsi="Times New Roman" w:cs="Times New Roman"/>
          <w:sz w:val="24"/>
          <w:szCs w:val="24"/>
          <w:lang w:eastAsia="hu-HU"/>
        </w:rPr>
        <w:t>című előterjesztéssel kapcsolatban</w:t>
      </w:r>
      <w:r w:rsidRPr="00E360AF">
        <w:rPr>
          <w:rFonts w:ascii="Times New Roman" w:eastAsia="Times New Roman" w:hAnsi="Times New Roman" w:cs="Times New Roman"/>
          <w:b/>
          <w:sz w:val="24"/>
          <w:szCs w:val="24"/>
          <w:lang w:eastAsia="hu-HU"/>
        </w:rPr>
        <w:t xml:space="preserve"> </w:t>
      </w:r>
      <w:r w:rsidRPr="00E360AF">
        <w:rPr>
          <w:rFonts w:ascii="Times New Roman" w:eastAsia="Times New Roman" w:hAnsi="Times New Roman" w:cs="Times New Roman"/>
          <w:sz w:val="24"/>
          <w:szCs w:val="24"/>
          <w:lang w:eastAsia="hu-HU"/>
        </w:rPr>
        <w:t>az alábbi határozatot hozza:</w:t>
      </w:r>
      <w:r w:rsidRPr="00E360AF">
        <w:rPr>
          <w:rFonts w:ascii="Times New Roman" w:eastAsia="Times New Roman" w:hAnsi="Times New Roman" w:cs="Times New Roman"/>
          <w:color w:val="FFFFFF"/>
          <w:sz w:val="24"/>
          <w:szCs w:val="24"/>
          <w:lang w:eastAsia="hu-HU"/>
        </w:rPr>
        <w:t xml:space="preserve"> </w:t>
      </w:r>
      <w:proofErr w:type="gramStart"/>
      <w:r w:rsidRPr="00E360AF">
        <w:rPr>
          <w:rFonts w:ascii="Times New Roman" w:eastAsia="Times New Roman" w:hAnsi="Times New Roman" w:cs="Times New Roman"/>
          <w:color w:val="FFFFFF"/>
          <w:sz w:val="24"/>
          <w:szCs w:val="24"/>
          <w:lang w:eastAsia="hu-HU"/>
        </w:rPr>
        <w:t>a</w:t>
      </w:r>
      <w:proofErr w:type="gramEnd"/>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r w:rsidRPr="00E360AF">
        <w:rPr>
          <w:rFonts w:ascii="Times New Roman" w:eastAsia="Times New Roman" w:hAnsi="Times New Roman" w:cs="Times New Roman"/>
          <w:sz w:val="24"/>
          <w:szCs w:val="24"/>
          <w:lang w:eastAsia="hu-HU"/>
        </w:rPr>
        <w:t xml:space="preserve">I. </w:t>
      </w:r>
      <w:r w:rsidRPr="00E360AF">
        <w:rPr>
          <w:rFonts w:ascii="Times New Roman" w:eastAsia="Times New Roman" w:hAnsi="Times New Roman" w:cs="Times New Roman"/>
          <w:b/>
          <w:sz w:val="24"/>
          <w:szCs w:val="24"/>
          <w:lang w:eastAsia="hu-HU"/>
        </w:rPr>
        <w:t>Elfogadja Tiszavasvári Város Önkormányzata</w:t>
      </w:r>
      <w:r w:rsidRPr="00E360AF">
        <w:rPr>
          <w:rFonts w:ascii="Times New Roman" w:eastAsia="Times New Roman" w:hAnsi="Times New Roman" w:cs="Times New Roman"/>
          <w:sz w:val="24"/>
          <w:szCs w:val="24"/>
          <w:lang w:eastAsia="hu-HU"/>
        </w:rPr>
        <w:t xml:space="preserve"> (4440 Tiszavasvári Városháza tér 4. képviseli: Szőke Zoltán polgármester) és az </w:t>
      </w:r>
      <w:r w:rsidRPr="00E360AF">
        <w:rPr>
          <w:rFonts w:ascii="Times New Roman" w:eastAsia="Times New Roman" w:hAnsi="Times New Roman" w:cs="Times New Roman"/>
          <w:b/>
          <w:sz w:val="24"/>
          <w:szCs w:val="24"/>
          <w:lang w:eastAsia="hu-HU"/>
        </w:rPr>
        <w:t>Esélytér Intézményfenntartó</w:t>
      </w:r>
      <w:r w:rsidRPr="00E360AF">
        <w:rPr>
          <w:rFonts w:ascii="Times New Roman" w:eastAsia="Times New Roman" w:hAnsi="Times New Roman" w:cs="Times New Roman"/>
          <w:sz w:val="24"/>
          <w:szCs w:val="24"/>
          <w:lang w:eastAsia="hu-HU"/>
        </w:rPr>
        <w:t xml:space="preserve"> (székhelye: 4400 Nyíregyháza, Csillag utca 3. képviseli: Orosz Ferenc Sándor a fenntartó képviselője) </w:t>
      </w:r>
      <w:r w:rsidRPr="00E360AF">
        <w:rPr>
          <w:rFonts w:ascii="Times New Roman" w:eastAsia="Times New Roman" w:hAnsi="Times New Roman" w:cs="Times New Roman"/>
          <w:b/>
          <w:sz w:val="24"/>
          <w:szCs w:val="24"/>
          <w:lang w:eastAsia="hu-HU"/>
        </w:rPr>
        <w:t>között</w:t>
      </w:r>
      <w:r w:rsidRPr="00E360AF">
        <w:rPr>
          <w:rFonts w:ascii="Times New Roman" w:eastAsia="Times New Roman" w:hAnsi="Times New Roman" w:cs="Times New Roman"/>
          <w:sz w:val="24"/>
          <w:szCs w:val="24"/>
          <w:lang w:eastAsia="hu-HU"/>
        </w:rPr>
        <w:t xml:space="preserve"> </w:t>
      </w:r>
      <w:r w:rsidRPr="00E360AF">
        <w:rPr>
          <w:rFonts w:ascii="Times New Roman" w:eastAsia="Times New Roman" w:hAnsi="Times New Roman" w:cs="Times New Roman"/>
          <w:i/>
          <w:sz w:val="24"/>
          <w:szCs w:val="24"/>
          <w:lang w:eastAsia="hu-HU"/>
        </w:rPr>
        <w:t>az egyházak hitéleti és közcélú tevékenységének anyagi feltételeiről szóló 1997. évi CXXIV. törvény</w:t>
      </w:r>
      <w:r w:rsidRPr="00E360AF">
        <w:rPr>
          <w:rFonts w:ascii="Times New Roman" w:eastAsia="Times New Roman" w:hAnsi="Times New Roman" w:cs="Times New Roman"/>
          <w:sz w:val="24"/>
          <w:szCs w:val="24"/>
          <w:lang w:eastAsia="hu-HU"/>
        </w:rPr>
        <w:t xml:space="preserve"> </w:t>
      </w:r>
      <w:r w:rsidRPr="00E360AF">
        <w:rPr>
          <w:rFonts w:ascii="Times New Roman" w:eastAsia="Times New Roman" w:hAnsi="Times New Roman" w:cs="Times New Roman"/>
          <w:i/>
          <w:sz w:val="24"/>
          <w:szCs w:val="24"/>
          <w:lang w:eastAsia="hu-HU"/>
        </w:rPr>
        <w:t>11/</w:t>
      </w:r>
      <w:proofErr w:type="gramStart"/>
      <w:r w:rsidRPr="00E360AF">
        <w:rPr>
          <w:rFonts w:ascii="Times New Roman" w:eastAsia="Times New Roman" w:hAnsi="Times New Roman" w:cs="Times New Roman"/>
          <w:i/>
          <w:sz w:val="24"/>
          <w:szCs w:val="24"/>
          <w:lang w:eastAsia="hu-HU"/>
        </w:rPr>
        <w:t>A</w:t>
      </w:r>
      <w:proofErr w:type="gramEnd"/>
      <w:r w:rsidRPr="00E360AF">
        <w:rPr>
          <w:rFonts w:ascii="Times New Roman" w:eastAsia="Times New Roman" w:hAnsi="Times New Roman" w:cs="Times New Roman"/>
          <w:i/>
          <w:sz w:val="24"/>
          <w:szCs w:val="24"/>
          <w:lang w:eastAsia="hu-HU"/>
        </w:rPr>
        <w:t>. § (1) bekezdése és 13. § (3) bekezdése</w:t>
      </w:r>
      <w:r w:rsidRPr="00E360AF">
        <w:rPr>
          <w:rFonts w:ascii="Times New Roman" w:eastAsia="Times New Roman" w:hAnsi="Times New Roman" w:cs="Times New Roman"/>
          <w:sz w:val="24"/>
          <w:szCs w:val="24"/>
          <w:lang w:eastAsia="hu-HU"/>
        </w:rPr>
        <w:t xml:space="preserve"> alapján </w:t>
      </w:r>
      <w:r w:rsidRPr="00E360AF">
        <w:rPr>
          <w:rFonts w:ascii="Times New Roman" w:eastAsia="Times New Roman" w:hAnsi="Times New Roman" w:cs="Times New Roman"/>
          <w:b/>
          <w:sz w:val="24"/>
          <w:szCs w:val="24"/>
          <w:lang w:eastAsia="hu-HU"/>
        </w:rPr>
        <w:t>az alábbi önkormányzati vagyonba tartozó ingatlanok</w:t>
      </w:r>
      <w:r w:rsidRPr="00E360AF">
        <w:rPr>
          <w:rFonts w:ascii="Times New Roman" w:eastAsia="Times New Roman" w:hAnsi="Times New Roman" w:cs="Times New Roman"/>
          <w:sz w:val="24"/>
          <w:szCs w:val="24"/>
          <w:lang w:eastAsia="hu-HU"/>
        </w:rPr>
        <w:t xml:space="preserve"> </w:t>
      </w:r>
      <w:r w:rsidRPr="00E360AF">
        <w:rPr>
          <w:rFonts w:ascii="Times New Roman" w:eastAsia="Times New Roman" w:hAnsi="Times New Roman" w:cs="Times New Roman"/>
          <w:b/>
          <w:sz w:val="24"/>
          <w:szCs w:val="24"/>
          <w:lang w:eastAsia="hu-HU"/>
        </w:rPr>
        <w:t>Esélytér Intézményfenntartó belső egyházi jogi személy részére történő ingyenes tulajdonba adásról szóló megállapodást</w:t>
      </w:r>
      <w:r w:rsidRPr="00E360AF">
        <w:rPr>
          <w:rFonts w:ascii="Times New Roman" w:eastAsia="Times New Roman" w:hAnsi="Times New Roman" w:cs="Times New Roman"/>
          <w:sz w:val="24"/>
          <w:szCs w:val="24"/>
          <w:lang w:eastAsia="hu-HU"/>
        </w:rPr>
        <w:t xml:space="preserve">, a határozat 1. melléklete szerinti tartalommal: </w:t>
      </w: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p>
    <w:p w:rsidR="00E360AF" w:rsidRPr="00E360AF" w:rsidRDefault="00E360AF" w:rsidP="00E360AF">
      <w:pPr>
        <w:spacing w:after="0" w:line="240" w:lineRule="auto"/>
        <w:jc w:val="both"/>
        <w:rPr>
          <w:rFonts w:ascii="Times New Roman" w:eastAsia="Times New Roman" w:hAnsi="Times New Roman" w:cs="Times New Roman"/>
          <w:b/>
          <w:sz w:val="24"/>
          <w:szCs w:val="24"/>
          <w:lang w:eastAsia="hu-HU"/>
        </w:rPr>
      </w:pPr>
      <w:r w:rsidRPr="00E360AF">
        <w:rPr>
          <w:rFonts w:ascii="Times New Roman" w:eastAsia="Times New Roman" w:hAnsi="Times New Roman" w:cs="Times New Roman"/>
          <w:b/>
          <w:sz w:val="24"/>
          <w:szCs w:val="24"/>
          <w:lang w:eastAsia="hu-HU"/>
        </w:rPr>
        <w:t>1. tiszavasvári 2699/1 helyrajzi szám, a valóságban 4440 Tiszavasvári, Petőfi u. 8. szám alatti ingatlan,</w:t>
      </w:r>
    </w:p>
    <w:p w:rsidR="00E360AF" w:rsidRPr="00E360AF" w:rsidRDefault="00E360AF" w:rsidP="00E360AF">
      <w:pPr>
        <w:spacing w:after="0" w:line="240" w:lineRule="auto"/>
        <w:jc w:val="both"/>
        <w:rPr>
          <w:rFonts w:ascii="Times New Roman" w:eastAsia="Times New Roman" w:hAnsi="Times New Roman" w:cs="Times New Roman"/>
          <w:b/>
          <w:sz w:val="24"/>
          <w:szCs w:val="24"/>
          <w:lang w:eastAsia="hu-HU"/>
        </w:rPr>
      </w:pPr>
      <w:r w:rsidRPr="00E360AF">
        <w:rPr>
          <w:rFonts w:ascii="Times New Roman" w:eastAsia="Times New Roman" w:hAnsi="Times New Roman" w:cs="Times New Roman"/>
          <w:b/>
          <w:sz w:val="24"/>
          <w:szCs w:val="24"/>
          <w:lang w:eastAsia="hu-HU"/>
        </w:rPr>
        <w:t xml:space="preserve">2. tiszavasvári 2686/2 helyrajzi számú, a valóságban 4440 Tiszavasvári, Petőfi u. 24. szám alatti ingatlan, </w:t>
      </w:r>
    </w:p>
    <w:p w:rsidR="00E360AF" w:rsidRPr="00E360AF" w:rsidRDefault="00E360AF" w:rsidP="00E360AF">
      <w:pPr>
        <w:spacing w:after="0" w:line="240" w:lineRule="auto"/>
        <w:jc w:val="both"/>
        <w:rPr>
          <w:rFonts w:ascii="Times New Roman" w:eastAsia="Times New Roman" w:hAnsi="Times New Roman" w:cs="Times New Roman"/>
          <w:b/>
          <w:sz w:val="24"/>
          <w:szCs w:val="24"/>
          <w:lang w:eastAsia="hu-HU"/>
        </w:rPr>
      </w:pPr>
      <w:r w:rsidRPr="00E360AF">
        <w:rPr>
          <w:rFonts w:ascii="Times New Roman" w:eastAsia="Times New Roman" w:hAnsi="Times New Roman" w:cs="Times New Roman"/>
          <w:b/>
          <w:sz w:val="24"/>
          <w:szCs w:val="24"/>
          <w:lang w:eastAsia="hu-HU"/>
        </w:rPr>
        <w:t>3. tiszavasvári 2708 helyrajzi számú, a valóságban 4440 Tiszavasvári, Kossuth u. 76. szám alatti ingatlan.</w:t>
      </w:r>
    </w:p>
    <w:p w:rsidR="00E360AF" w:rsidRPr="00E360AF" w:rsidRDefault="00E360AF" w:rsidP="00E360AF">
      <w:pPr>
        <w:spacing w:after="0" w:line="240" w:lineRule="auto"/>
        <w:jc w:val="both"/>
        <w:rPr>
          <w:rFonts w:ascii="Times New Roman" w:eastAsia="Times New Roman" w:hAnsi="Times New Roman" w:cs="Times New Roman"/>
          <w:b/>
          <w:sz w:val="24"/>
          <w:szCs w:val="24"/>
          <w:lang w:eastAsia="hu-HU"/>
        </w:rPr>
      </w:pPr>
    </w:p>
    <w:p w:rsidR="00E360AF" w:rsidRPr="00E360AF" w:rsidRDefault="00E360AF" w:rsidP="00E360AF">
      <w:pPr>
        <w:spacing w:after="0" w:line="240" w:lineRule="auto"/>
        <w:ind w:left="284" w:hanging="284"/>
        <w:jc w:val="both"/>
        <w:rPr>
          <w:rFonts w:ascii="Times New Roman" w:eastAsia="Times New Roman" w:hAnsi="Times New Roman" w:cs="Times New Roman"/>
          <w:sz w:val="24"/>
          <w:szCs w:val="24"/>
          <w:lang w:eastAsia="hu-HU"/>
        </w:rPr>
      </w:pPr>
      <w:r w:rsidRPr="00E360AF">
        <w:rPr>
          <w:rFonts w:ascii="Times New Roman" w:eastAsia="Times New Roman" w:hAnsi="Times New Roman" w:cs="Times New Roman"/>
          <w:b/>
          <w:sz w:val="24"/>
          <w:szCs w:val="24"/>
          <w:lang w:eastAsia="hu-HU"/>
        </w:rPr>
        <w:t>Határidő</w:t>
      </w:r>
      <w:r w:rsidRPr="00E360AF">
        <w:rPr>
          <w:rFonts w:ascii="Times New Roman" w:eastAsia="Times New Roman" w:hAnsi="Times New Roman" w:cs="Times New Roman"/>
          <w:sz w:val="24"/>
          <w:szCs w:val="24"/>
          <w:lang w:eastAsia="hu-HU"/>
        </w:rPr>
        <w:t>: azonnal</w:t>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b/>
          <w:sz w:val="24"/>
          <w:szCs w:val="24"/>
          <w:lang w:eastAsia="hu-HU"/>
        </w:rPr>
        <w:t>Felelős</w:t>
      </w:r>
      <w:r w:rsidRPr="00E360AF">
        <w:rPr>
          <w:rFonts w:ascii="Times New Roman" w:eastAsia="Times New Roman" w:hAnsi="Times New Roman" w:cs="Times New Roman"/>
          <w:sz w:val="24"/>
          <w:szCs w:val="24"/>
          <w:lang w:eastAsia="hu-HU"/>
        </w:rPr>
        <w:t>: Szőke Zoltán polgármester</w:t>
      </w:r>
    </w:p>
    <w:p w:rsidR="00E360AF" w:rsidRPr="00E360AF" w:rsidRDefault="00E360AF" w:rsidP="00E360AF">
      <w:pPr>
        <w:spacing w:after="0" w:line="240" w:lineRule="auto"/>
        <w:ind w:left="1244"/>
        <w:rPr>
          <w:rFonts w:ascii="Times New Roman" w:eastAsia="Times New Roman" w:hAnsi="Times New Roman" w:cs="Times New Roman"/>
          <w:sz w:val="24"/>
          <w:szCs w:val="24"/>
          <w:lang w:eastAsia="hu-HU"/>
        </w:rPr>
      </w:pP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r w:rsidRPr="00E360AF">
        <w:rPr>
          <w:rFonts w:ascii="Times New Roman" w:eastAsia="Times New Roman" w:hAnsi="Times New Roman" w:cs="Times New Roman"/>
          <w:sz w:val="24"/>
          <w:szCs w:val="24"/>
          <w:lang w:eastAsia="hu-HU"/>
        </w:rPr>
        <w:t xml:space="preserve">II. Felhatalmazza a polgármestert az 1. pont szerinti megállapodás aláírására. </w:t>
      </w: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r w:rsidRPr="00E360AF">
        <w:rPr>
          <w:rFonts w:ascii="Times New Roman" w:eastAsia="Times New Roman" w:hAnsi="Times New Roman" w:cs="Times New Roman"/>
          <w:b/>
          <w:sz w:val="24"/>
          <w:szCs w:val="24"/>
          <w:lang w:eastAsia="hu-HU"/>
        </w:rPr>
        <w:t>Határidő:</w:t>
      </w:r>
      <w:r w:rsidRPr="00E360AF">
        <w:rPr>
          <w:rFonts w:ascii="Times New Roman" w:eastAsia="Times New Roman" w:hAnsi="Times New Roman" w:cs="Times New Roman"/>
          <w:sz w:val="24"/>
          <w:szCs w:val="24"/>
          <w:lang w:eastAsia="hu-HU"/>
        </w:rPr>
        <w:t xml:space="preserve"> azonnal</w:t>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b/>
          <w:sz w:val="24"/>
          <w:szCs w:val="24"/>
          <w:lang w:eastAsia="hu-HU"/>
        </w:rPr>
        <w:t>Felelős</w:t>
      </w:r>
      <w:r w:rsidRPr="00E360AF">
        <w:rPr>
          <w:rFonts w:ascii="Times New Roman" w:eastAsia="Times New Roman" w:hAnsi="Times New Roman" w:cs="Times New Roman"/>
          <w:sz w:val="24"/>
          <w:szCs w:val="24"/>
          <w:lang w:eastAsia="hu-HU"/>
        </w:rPr>
        <w:t>: Szőke Zoltán polgármester</w:t>
      </w: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r w:rsidRPr="00E360AF">
        <w:rPr>
          <w:rFonts w:ascii="Times New Roman" w:eastAsia="Times New Roman" w:hAnsi="Times New Roman" w:cs="Times New Roman"/>
          <w:sz w:val="24"/>
          <w:szCs w:val="24"/>
          <w:lang w:eastAsia="hu-HU"/>
        </w:rPr>
        <w:tab/>
        <w:t xml:space="preserve">          </w:t>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r w:rsidRPr="00E360AF">
        <w:rPr>
          <w:rFonts w:ascii="Times New Roman" w:eastAsia="Times New Roman" w:hAnsi="Times New Roman" w:cs="Times New Roman"/>
          <w:sz w:val="24"/>
          <w:szCs w:val="24"/>
          <w:lang w:eastAsia="hu-HU"/>
        </w:rPr>
        <w:t xml:space="preserve">III. Felkéri a polgármestert, hogy a döntésről értesítse az Esélytér Intézményfenntartó képviselőjét. </w:t>
      </w: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p>
    <w:p w:rsidR="00E360AF" w:rsidRPr="00E360AF" w:rsidRDefault="00E360AF" w:rsidP="00E360AF">
      <w:pPr>
        <w:spacing w:after="0" w:line="240" w:lineRule="auto"/>
        <w:jc w:val="both"/>
        <w:rPr>
          <w:rFonts w:ascii="Times New Roman" w:eastAsia="Times New Roman" w:hAnsi="Times New Roman" w:cs="Times New Roman"/>
          <w:sz w:val="24"/>
          <w:szCs w:val="24"/>
          <w:lang w:eastAsia="hu-HU"/>
        </w:rPr>
      </w:pPr>
      <w:r w:rsidRPr="00E360AF">
        <w:rPr>
          <w:rFonts w:ascii="Times New Roman" w:eastAsia="Times New Roman" w:hAnsi="Times New Roman" w:cs="Times New Roman"/>
          <w:b/>
          <w:sz w:val="24"/>
          <w:szCs w:val="24"/>
          <w:lang w:eastAsia="hu-HU"/>
        </w:rPr>
        <w:t>Határidő:</w:t>
      </w:r>
      <w:r w:rsidRPr="00E360AF">
        <w:rPr>
          <w:rFonts w:ascii="Times New Roman" w:eastAsia="Times New Roman" w:hAnsi="Times New Roman" w:cs="Times New Roman"/>
          <w:sz w:val="24"/>
          <w:szCs w:val="24"/>
          <w:lang w:eastAsia="hu-HU"/>
        </w:rPr>
        <w:t xml:space="preserve"> azonnal</w:t>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sz w:val="24"/>
          <w:szCs w:val="24"/>
          <w:lang w:eastAsia="hu-HU"/>
        </w:rPr>
        <w:tab/>
      </w:r>
      <w:r w:rsidRPr="00E360AF">
        <w:rPr>
          <w:rFonts w:ascii="Times New Roman" w:eastAsia="Times New Roman" w:hAnsi="Times New Roman" w:cs="Times New Roman"/>
          <w:b/>
          <w:sz w:val="24"/>
          <w:szCs w:val="24"/>
          <w:lang w:eastAsia="hu-HU"/>
        </w:rPr>
        <w:t>Felelős</w:t>
      </w:r>
      <w:r w:rsidRPr="00E360AF">
        <w:rPr>
          <w:rFonts w:ascii="Times New Roman" w:eastAsia="Times New Roman" w:hAnsi="Times New Roman" w:cs="Times New Roman"/>
          <w:sz w:val="24"/>
          <w:szCs w:val="24"/>
          <w:lang w:eastAsia="hu-HU"/>
        </w:rPr>
        <w:t>: Szőke Zoltán polgármester</w:t>
      </w:r>
    </w:p>
    <w:p w:rsidR="00802E8F" w:rsidRDefault="00802E8F" w:rsidP="00E360AF">
      <w:pPr>
        <w:spacing w:after="0" w:line="240" w:lineRule="auto"/>
        <w:jc w:val="right"/>
        <w:rPr>
          <w:rFonts w:ascii="Times New Roman" w:eastAsia="Times New Roman" w:hAnsi="Times New Roman" w:cs="Times New Roman"/>
          <w:sz w:val="24"/>
          <w:szCs w:val="24"/>
          <w:lang w:eastAsia="hu-HU"/>
        </w:rPr>
      </w:pPr>
    </w:p>
    <w:p w:rsidR="00802E8F" w:rsidRDefault="00802E8F" w:rsidP="00E360AF">
      <w:pPr>
        <w:spacing w:after="0" w:line="240" w:lineRule="auto"/>
        <w:jc w:val="right"/>
        <w:rPr>
          <w:rFonts w:ascii="Times New Roman" w:eastAsia="Times New Roman" w:hAnsi="Times New Roman" w:cs="Times New Roman"/>
          <w:sz w:val="24"/>
          <w:szCs w:val="24"/>
          <w:lang w:eastAsia="hu-HU"/>
        </w:rPr>
      </w:pPr>
    </w:p>
    <w:p w:rsidR="00FE2E70" w:rsidRDefault="00FE2E70" w:rsidP="00E360AF">
      <w:pPr>
        <w:spacing w:after="0" w:line="240" w:lineRule="auto"/>
        <w:jc w:val="right"/>
        <w:rPr>
          <w:rFonts w:ascii="Times New Roman" w:eastAsia="Times New Roman" w:hAnsi="Times New Roman" w:cs="Times New Roman"/>
          <w:sz w:val="24"/>
          <w:szCs w:val="24"/>
          <w:lang w:eastAsia="hu-HU"/>
        </w:rPr>
      </w:pPr>
    </w:p>
    <w:p w:rsidR="00FE2E70" w:rsidRDefault="00FE2E70" w:rsidP="00E360AF">
      <w:pPr>
        <w:spacing w:after="0" w:line="240" w:lineRule="auto"/>
        <w:jc w:val="right"/>
        <w:rPr>
          <w:rFonts w:ascii="Times New Roman" w:eastAsia="Times New Roman" w:hAnsi="Times New Roman" w:cs="Times New Roman"/>
          <w:sz w:val="24"/>
          <w:szCs w:val="24"/>
          <w:lang w:eastAsia="hu-HU"/>
        </w:rPr>
      </w:pPr>
    </w:p>
    <w:p w:rsidR="00802E8F" w:rsidRDefault="00802E8F" w:rsidP="00E360AF">
      <w:pPr>
        <w:spacing w:after="0" w:line="240" w:lineRule="auto"/>
        <w:jc w:val="right"/>
        <w:rPr>
          <w:rFonts w:ascii="Times New Roman" w:eastAsia="Times New Roman" w:hAnsi="Times New Roman" w:cs="Times New Roman"/>
          <w:sz w:val="24"/>
          <w:szCs w:val="24"/>
          <w:lang w:eastAsia="hu-HU"/>
        </w:rPr>
      </w:pPr>
    </w:p>
    <w:p w:rsidR="00802E8F" w:rsidRPr="00802E8F" w:rsidRDefault="00802E8F" w:rsidP="00802E8F">
      <w:pPr>
        <w:spacing w:after="0" w:line="240" w:lineRule="auto"/>
        <w:ind w:right="1" w:firstLine="708"/>
        <w:jc w:val="both"/>
        <w:rPr>
          <w:rFonts w:ascii="Times New Roman" w:eastAsia="Times New Roman" w:hAnsi="Times New Roman" w:cs="Times New Roman"/>
          <w:b/>
          <w:sz w:val="24"/>
          <w:szCs w:val="24"/>
          <w:lang w:eastAsia="hu-HU"/>
        </w:rPr>
      </w:pPr>
      <w:r w:rsidRPr="00802E8F">
        <w:rPr>
          <w:rFonts w:ascii="Times New Roman" w:eastAsia="Times New Roman" w:hAnsi="Times New Roman" w:cs="Times New Roman"/>
          <w:b/>
          <w:sz w:val="24"/>
          <w:szCs w:val="24"/>
          <w:lang w:eastAsia="hu-HU"/>
        </w:rPr>
        <w:t>Szőke Zoltán</w:t>
      </w:r>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t xml:space="preserve">Dr. </w:t>
      </w:r>
      <w:proofErr w:type="spellStart"/>
      <w:r w:rsidRPr="00802E8F">
        <w:rPr>
          <w:rFonts w:ascii="Times New Roman" w:eastAsia="Times New Roman" w:hAnsi="Times New Roman" w:cs="Times New Roman"/>
          <w:b/>
          <w:sz w:val="24"/>
          <w:szCs w:val="24"/>
          <w:lang w:eastAsia="hu-HU"/>
        </w:rPr>
        <w:t>Kórik</w:t>
      </w:r>
      <w:proofErr w:type="spellEnd"/>
      <w:r w:rsidRPr="00802E8F">
        <w:rPr>
          <w:rFonts w:ascii="Times New Roman" w:eastAsia="Times New Roman" w:hAnsi="Times New Roman" w:cs="Times New Roman"/>
          <w:b/>
          <w:sz w:val="24"/>
          <w:szCs w:val="24"/>
          <w:lang w:eastAsia="hu-HU"/>
        </w:rPr>
        <w:t xml:space="preserve"> Zsuzsanna </w:t>
      </w:r>
      <w:r w:rsidRPr="00802E8F">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p>
    <w:p w:rsidR="00802E8F" w:rsidRPr="00802E8F" w:rsidRDefault="00802E8F" w:rsidP="00802E8F">
      <w:pPr>
        <w:spacing w:after="0" w:line="240" w:lineRule="auto"/>
        <w:ind w:right="1" w:firstLine="708"/>
        <w:jc w:val="both"/>
        <w:rPr>
          <w:rFonts w:ascii="Times New Roman" w:eastAsia="Times New Roman" w:hAnsi="Times New Roman" w:cs="Times New Roman"/>
          <w:b/>
          <w:sz w:val="24"/>
          <w:szCs w:val="24"/>
          <w:lang w:eastAsia="hu-HU"/>
        </w:rPr>
      </w:pPr>
      <w:proofErr w:type="gramStart"/>
      <w:r w:rsidRPr="00802E8F">
        <w:rPr>
          <w:rFonts w:ascii="Times New Roman" w:eastAsia="Times New Roman" w:hAnsi="Times New Roman" w:cs="Times New Roman"/>
          <w:b/>
          <w:sz w:val="24"/>
          <w:szCs w:val="24"/>
          <w:lang w:eastAsia="hu-HU"/>
        </w:rPr>
        <w:t>polgármester</w:t>
      </w:r>
      <w:proofErr w:type="gramEnd"/>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r>
      <w:r w:rsidRPr="00802E8F">
        <w:rPr>
          <w:rFonts w:ascii="Times New Roman" w:eastAsia="Times New Roman" w:hAnsi="Times New Roman" w:cs="Times New Roman"/>
          <w:b/>
          <w:sz w:val="24"/>
          <w:szCs w:val="24"/>
          <w:lang w:eastAsia="hu-HU"/>
        </w:rPr>
        <w:tab/>
        <w:t>jegyző</w:t>
      </w:r>
    </w:p>
    <w:p w:rsidR="00E360AF" w:rsidRPr="00E360AF" w:rsidRDefault="00802E8F" w:rsidP="00802E8F">
      <w:pPr>
        <w:spacing w:after="0" w:line="240" w:lineRule="auto"/>
        <w:ind w:right="1" w:firstLine="708"/>
        <w:jc w:val="both"/>
        <w:rPr>
          <w:rFonts w:ascii="Times New Roman" w:eastAsia="Times New Roman" w:hAnsi="Times New Roman" w:cs="Times New Roman"/>
          <w:i/>
          <w:sz w:val="20"/>
          <w:szCs w:val="20"/>
          <w:lang w:eastAsia="hu-HU"/>
        </w:rPr>
      </w:pPr>
      <w:r>
        <w:rPr>
          <w:rFonts w:ascii="Times New Roman" w:eastAsia="Times New Roman" w:hAnsi="Times New Roman" w:cs="Times New Roman"/>
          <w:sz w:val="24"/>
          <w:szCs w:val="24"/>
          <w:lang w:eastAsia="hu-HU"/>
        </w:rPr>
        <w:tab/>
      </w:r>
      <w:r w:rsidR="00E360AF" w:rsidRPr="00E360AF">
        <w:rPr>
          <w:rFonts w:ascii="Times New Roman" w:eastAsia="Times New Roman" w:hAnsi="Times New Roman" w:cs="Times New Roman"/>
          <w:sz w:val="24"/>
          <w:szCs w:val="24"/>
          <w:lang w:eastAsia="hu-HU"/>
        </w:rPr>
        <w:br w:type="page"/>
      </w:r>
      <w:r w:rsidR="00E360AF" w:rsidRPr="00E360AF">
        <w:rPr>
          <w:rFonts w:ascii="Times New Roman" w:eastAsia="Times New Roman" w:hAnsi="Times New Roman" w:cs="Times New Roman"/>
          <w:i/>
          <w:sz w:val="20"/>
          <w:szCs w:val="20"/>
          <w:lang w:eastAsia="hu-HU"/>
        </w:rPr>
        <w:lastRenderedPageBreak/>
        <w:t xml:space="preserve">1. melléklet a </w:t>
      </w:r>
      <w:r w:rsidR="00FE2E70">
        <w:rPr>
          <w:rFonts w:ascii="Times New Roman" w:eastAsia="Times New Roman" w:hAnsi="Times New Roman" w:cs="Times New Roman"/>
          <w:i/>
          <w:sz w:val="20"/>
          <w:szCs w:val="20"/>
          <w:lang w:eastAsia="hu-HU"/>
        </w:rPr>
        <w:t>218</w:t>
      </w:r>
      <w:r w:rsidR="00E360AF" w:rsidRPr="00E360AF">
        <w:rPr>
          <w:rFonts w:ascii="Times New Roman" w:eastAsia="Times New Roman" w:hAnsi="Times New Roman" w:cs="Times New Roman"/>
          <w:i/>
          <w:sz w:val="20"/>
          <w:szCs w:val="20"/>
          <w:lang w:eastAsia="hu-HU"/>
        </w:rPr>
        <w:t>/2023. (VIII.31.) Kt. számú határozathoz</w:t>
      </w:r>
    </w:p>
    <w:p w:rsidR="00AF12E1" w:rsidRPr="009F709F" w:rsidRDefault="00AF12E1" w:rsidP="00AF12E1">
      <w:pPr>
        <w:pStyle w:val="Default"/>
        <w:jc w:val="center"/>
        <w:rPr>
          <w:color w:val="auto"/>
        </w:rPr>
      </w:pPr>
      <w:r w:rsidRPr="009F709F">
        <w:rPr>
          <w:b/>
          <w:bCs/>
          <w:color w:val="auto"/>
        </w:rPr>
        <w:t>MEGÁLLAPODÁS</w:t>
      </w:r>
    </w:p>
    <w:p w:rsidR="00AF12E1" w:rsidRPr="009F709F" w:rsidRDefault="00AF12E1" w:rsidP="00AF12E1">
      <w:pPr>
        <w:pStyle w:val="Default"/>
        <w:jc w:val="center"/>
        <w:rPr>
          <w:color w:val="auto"/>
        </w:rPr>
      </w:pPr>
      <w:proofErr w:type="gramStart"/>
      <w:r w:rsidRPr="009F709F">
        <w:rPr>
          <w:b/>
          <w:bCs/>
          <w:color w:val="auto"/>
        </w:rPr>
        <w:t>önkormányzati</w:t>
      </w:r>
      <w:proofErr w:type="gramEnd"/>
      <w:r w:rsidRPr="009F709F">
        <w:rPr>
          <w:b/>
          <w:bCs/>
          <w:color w:val="auto"/>
        </w:rPr>
        <w:t xml:space="preserve"> vagyonba tartozó ingatlanok belső egyházi jogi személy részére történő ingyenes tulajdonba adásáról</w:t>
      </w:r>
    </w:p>
    <w:p w:rsidR="00AF12E1" w:rsidRPr="009F709F" w:rsidRDefault="00AF12E1" w:rsidP="00AF12E1">
      <w:pPr>
        <w:pStyle w:val="Default"/>
        <w:rPr>
          <w:color w:val="auto"/>
        </w:rPr>
      </w:pPr>
      <w:r w:rsidRPr="009F709F">
        <w:rPr>
          <w:color w:val="auto"/>
        </w:rPr>
        <w:t>(a továbbiakban: jelen megállapodás)</w:t>
      </w:r>
    </w:p>
    <w:p w:rsidR="00AF12E1" w:rsidRPr="009F709F" w:rsidRDefault="00AF12E1" w:rsidP="00AF12E1">
      <w:pPr>
        <w:pStyle w:val="Default"/>
        <w:rPr>
          <w:color w:val="auto"/>
        </w:rPr>
      </w:pPr>
    </w:p>
    <w:p w:rsidR="00AF12E1" w:rsidRPr="009F709F" w:rsidRDefault="00AF12E1" w:rsidP="00AF12E1">
      <w:pPr>
        <w:pStyle w:val="Default"/>
        <w:rPr>
          <w:color w:val="auto"/>
        </w:rPr>
      </w:pPr>
      <w:proofErr w:type="gramStart"/>
      <w:r w:rsidRPr="009F709F">
        <w:rPr>
          <w:color w:val="auto"/>
        </w:rPr>
        <w:t>amely</w:t>
      </w:r>
      <w:proofErr w:type="gramEnd"/>
      <w:r w:rsidRPr="009F709F">
        <w:rPr>
          <w:color w:val="auto"/>
        </w:rPr>
        <w:t xml:space="preserve"> létrejött egyrészről:</w:t>
      </w:r>
    </w:p>
    <w:p w:rsidR="00AF12E1" w:rsidRPr="009F709F" w:rsidRDefault="00AF12E1" w:rsidP="00AF12E1">
      <w:pPr>
        <w:pStyle w:val="Default"/>
        <w:jc w:val="both"/>
        <w:rPr>
          <w:color w:val="auto"/>
        </w:rPr>
      </w:pPr>
    </w:p>
    <w:p w:rsidR="00AF12E1" w:rsidRPr="009F709F" w:rsidRDefault="00AF12E1" w:rsidP="00AF12E1">
      <w:pPr>
        <w:pStyle w:val="Default"/>
        <w:jc w:val="both"/>
        <w:rPr>
          <w:color w:val="auto"/>
        </w:rPr>
      </w:pPr>
      <w:r w:rsidRPr="009F709F">
        <w:rPr>
          <w:b/>
          <w:bCs/>
          <w:color w:val="auto"/>
        </w:rPr>
        <w:t>Tiszavasvári Város</w:t>
      </w:r>
      <w:r w:rsidRPr="009F709F">
        <w:rPr>
          <w:color w:val="auto"/>
        </w:rPr>
        <w:t xml:space="preserve"> </w:t>
      </w:r>
      <w:r w:rsidRPr="009F709F">
        <w:rPr>
          <w:b/>
          <w:bCs/>
          <w:color w:val="auto"/>
        </w:rPr>
        <w:t xml:space="preserve">Önkormányzata </w:t>
      </w:r>
      <w:r w:rsidRPr="009F709F">
        <w:rPr>
          <w:color w:val="auto"/>
        </w:rPr>
        <w:t>(székhely:</w:t>
      </w:r>
      <w:r>
        <w:rPr>
          <w:color w:val="auto"/>
        </w:rPr>
        <w:t xml:space="preserve"> 4440 Tiszavasvári, Városháza tér 4. szám </w:t>
      </w:r>
      <w:r w:rsidRPr="009F709F">
        <w:rPr>
          <w:color w:val="auto"/>
        </w:rPr>
        <w:t>törzsszám:</w:t>
      </w:r>
      <w:r>
        <w:rPr>
          <w:color w:val="auto"/>
        </w:rPr>
        <w:t xml:space="preserve"> 732462</w:t>
      </w:r>
      <w:r w:rsidRPr="009F709F">
        <w:rPr>
          <w:color w:val="auto"/>
        </w:rPr>
        <w:t xml:space="preserve">; adószám: </w:t>
      </w:r>
      <w:r>
        <w:rPr>
          <w:color w:val="auto"/>
        </w:rPr>
        <w:t>15732468-2-15</w:t>
      </w:r>
      <w:r w:rsidRPr="009F709F">
        <w:rPr>
          <w:color w:val="auto"/>
        </w:rPr>
        <w:t>; statisztikai számjel:</w:t>
      </w:r>
      <w:r>
        <w:rPr>
          <w:color w:val="auto"/>
        </w:rPr>
        <w:t xml:space="preserve"> 15732468-8411-321-15</w:t>
      </w:r>
      <w:r w:rsidRPr="009F709F">
        <w:rPr>
          <w:color w:val="auto"/>
        </w:rPr>
        <w:t xml:space="preserve">, képviseli: Szőke Zoltán polgármester), mint tulajdonba adó (a továbbiakban: </w:t>
      </w:r>
      <w:r w:rsidRPr="009F709F">
        <w:rPr>
          <w:b/>
          <w:bCs/>
          <w:i/>
          <w:iCs/>
          <w:color w:val="auto"/>
        </w:rPr>
        <w:t>Önkormányzat vagy Tulajdonba adó</w:t>
      </w:r>
      <w:r w:rsidRPr="009F709F">
        <w:rPr>
          <w:b/>
          <w:bCs/>
          <w:color w:val="auto"/>
        </w:rPr>
        <w:t>)</w:t>
      </w:r>
      <w:r w:rsidRPr="009F709F">
        <w:rPr>
          <w:color w:val="auto"/>
        </w:rPr>
        <w:t>,</w:t>
      </w:r>
    </w:p>
    <w:p w:rsidR="00AF12E1" w:rsidRPr="009F709F" w:rsidRDefault="00AF12E1" w:rsidP="00AF12E1">
      <w:pPr>
        <w:pStyle w:val="Default"/>
        <w:jc w:val="both"/>
        <w:rPr>
          <w:color w:val="auto"/>
        </w:rPr>
      </w:pPr>
    </w:p>
    <w:p w:rsidR="00AF12E1" w:rsidRPr="009F709F" w:rsidRDefault="00AF12E1" w:rsidP="00AF12E1">
      <w:pPr>
        <w:pStyle w:val="Default"/>
        <w:jc w:val="both"/>
        <w:rPr>
          <w:color w:val="auto"/>
        </w:rPr>
      </w:pPr>
      <w:proofErr w:type="gramStart"/>
      <w:r w:rsidRPr="009F709F">
        <w:rPr>
          <w:color w:val="auto"/>
        </w:rPr>
        <w:t>másrészről</w:t>
      </w:r>
      <w:proofErr w:type="gramEnd"/>
      <w:r w:rsidRPr="009F709F">
        <w:rPr>
          <w:color w:val="auto"/>
        </w:rPr>
        <w:t>:</w:t>
      </w:r>
    </w:p>
    <w:p w:rsidR="00AF12E1" w:rsidRPr="009F709F" w:rsidRDefault="00AF12E1" w:rsidP="00AF12E1">
      <w:pPr>
        <w:pStyle w:val="Default"/>
        <w:jc w:val="both"/>
        <w:rPr>
          <w:color w:val="auto"/>
        </w:rPr>
      </w:pPr>
    </w:p>
    <w:p w:rsidR="00AF12E1" w:rsidRPr="009F709F" w:rsidRDefault="00AF12E1" w:rsidP="00AF12E1">
      <w:pPr>
        <w:pStyle w:val="Default"/>
        <w:jc w:val="both"/>
        <w:rPr>
          <w:color w:val="auto"/>
        </w:rPr>
      </w:pPr>
      <w:r w:rsidRPr="009F709F">
        <w:rPr>
          <w:b/>
          <w:bCs/>
          <w:color w:val="auto"/>
        </w:rPr>
        <w:t>Esélytér Intézményfenntartó,</w:t>
      </w:r>
      <w:r w:rsidRPr="009F709F">
        <w:rPr>
          <w:color w:val="auto"/>
        </w:rPr>
        <w:t xml:space="preserve"> belső egyházi jo</w:t>
      </w:r>
      <w:r>
        <w:rPr>
          <w:color w:val="auto"/>
        </w:rPr>
        <w:t xml:space="preserve">gi személy (székhelye: 4400 Nyíregyháza, Csillag u. 3. adószáma: 18742428-1-15) </w:t>
      </w:r>
      <w:r w:rsidRPr="009F709F">
        <w:rPr>
          <w:color w:val="auto"/>
        </w:rPr>
        <w:t>képviseli: Orosz Ferenc</w:t>
      </w:r>
      <w:r>
        <w:rPr>
          <w:color w:val="auto"/>
        </w:rPr>
        <w:t xml:space="preserve"> Sándor, fenntartó képviselője)</w:t>
      </w:r>
      <w:r w:rsidRPr="009F709F">
        <w:rPr>
          <w:b/>
          <w:bCs/>
          <w:color w:val="auto"/>
        </w:rPr>
        <w:t xml:space="preserve">, </w:t>
      </w:r>
      <w:r w:rsidRPr="009F709F">
        <w:rPr>
          <w:color w:val="auto"/>
        </w:rPr>
        <w:t xml:space="preserve">mint tulajdonba vevő (a továbbiakban: </w:t>
      </w:r>
      <w:r w:rsidRPr="009F709F">
        <w:rPr>
          <w:b/>
          <w:bCs/>
          <w:i/>
          <w:iCs/>
          <w:color w:val="auto"/>
        </w:rPr>
        <w:t>Tulajdonba vevő</w:t>
      </w:r>
      <w:r w:rsidRPr="009F709F">
        <w:rPr>
          <w:color w:val="auto"/>
        </w:rPr>
        <w:t xml:space="preserve">, vagy </w:t>
      </w:r>
      <w:r w:rsidRPr="009F709F">
        <w:rPr>
          <w:b/>
          <w:bCs/>
          <w:i/>
          <w:iCs/>
          <w:color w:val="auto"/>
        </w:rPr>
        <w:t>Esélytér Intézményfenntartó</w:t>
      </w:r>
      <w:r w:rsidRPr="009F709F">
        <w:rPr>
          <w:color w:val="auto"/>
        </w:rPr>
        <w:t xml:space="preserve">) </w:t>
      </w:r>
    </w:p>
    <w:p w:rsidR="00AF12E1" w:rsidRPr="009F709F" w:rsidRDefault="00AF12E1" w:rsidP="00AF12E1">
      <w:pPr>
        <w:pStyle w:val="Default"/>
        <w:jc w:val="both"/>
        <w:rPr>
          <w:color w:val="auto"/>
        </w:rPr>
      </w:pPr>
    </w:p>
    <w:p w:rsidR="00AF12E1" w:rsidRPr="009F709F" w:rsidRDefault="00AF12E1" w:rsidP="00AF12E1">
      <w:pPr>
        <w:pStyle w:val="Default"/>
        <w:numPr>
          <w:ilvl w:val="0"/>
          <w:numId w:val="1"/>
        </w:numPr>
        <w:rPr>
          <w:color w:val="auto"/>
        </w:rPr>
      </w:pPr>
      <w:r w:rsidRPr="009F709F">
        <w:rPr>
          <w:color w:val="auto"/>
        </w:rPr>
        <w:t xml:space="preserve">együttesen: </w:t>
      </w:r>
      <w:r w:rsidRPr="009F709F">
        <w:rPr>
          <w:b/>
          <w:bCs/>
          <w:color w:val="auto"/>
        </w:rPr>
        <w:t xml:space="preserve">Szerződő Felek, </w:t>
      </w:r>
      <w:r w:rsidRPr="009F709F">
        <w:rPr>
          <w:color w:val="auto"/>
        </w:rPr>
        <w:t xml:space="preserve">külön-külön: </w:t>
      </w:r>
      <w:r w:rsidRPr="009F709F">
        <w:rPr>
          <w:b/>
          <w:bCs/>
          <w:color w:val="auto"/>
        </w:rPr>
        <w:t xml:space="preserve">Szerződő Fél </w:t>
      </w:r>
      <w:r w:rsidRPr="009F709F">
        <w:rPr>
          <w:color w:val="auto"/>
        </w:rPr>
        <w:t>– között alulírott helyen és napon az alábbiak szerint:</w:t>
      </w:r>
    </w:p>
    <w:p w:rsidR="00AF12E1" w:rsidRPr="009F709F" w:rsidRDefault="00AF12E1" w:rsidP="00AF12E1">
      <w:pPr>
        <w:pStyle w:val="Default"/>
        <w:rPr>
          <w:color w:val="auto"/>
        </w:rPr>
      </w:pPr>
    </w:p>
    <w:p w:rsidR="00AF12E1" w:rsidRPr="009F709F" w:rsidRDefault="00AF12E1" w:rsidP="00AF12E1">
      <w:pPr>
        <w:pStyle w:val="Default"/>
        <w:jc w:val="center"/>
        <w:rPr>
          <w:i/>
          <w:iCs/>
          <w:color w:val="auto"/>
        </w:rPr>
      </w:pPr>
      <w:r w:rsidRPr="009F709F">
        <w:rPr>
          <w:b/>
          <w:bCs/>
          <w:i/>
          <w:iCs/>
          <w:color w:val="auto"/>
        </w:rPr>
        <w:t>I. Előzmények</w:t>
      </w:r>
    </w:p>
    <w:p w:rsidR="00AF12E1" w:rsidRPr="009F709F" w:rsidRDefault="00AF12E1" w:rsidP="00AF12E1">
      <w:pPr>
        <w:pStyle w:val="Default"/>
        <w:rPr>
          <w:color w:val="auto"/>
        </w:rPr>
      </w:pPr>
    </w:p>
    <w:p w:rsidR="00AF12E1" w:rsidRPr="009F709F" w:rsidRDefault="00AF12E1" w:rsidP="00AF12E1">
      <w:pPr>
        <w:pStyle w:val="Default"/>
        <w:jc w:val="both"/>
        <w:rPr>
          <w:b/>
          <w:bCs/>
          <w:i/>
          <w:iCs/>
          <w:color w:val="auto"/>
        </w:rPr>
      </w:pPr>
      <w:r w:rsidRPr="009F709F">
        <w:rPr>
          <w:b/>
          <w:bCs/>
          <w:color w:val="auto"/>
        </w:rPr>
        <w:t xml:space="preserve">I.1. </w:t>
      </w:r>
      <w:r w:rsidRPr="009F709F">
        <w:rPr>
          <w:color w:val="auto"/>
        </w:rPr>
        <w:t xml:space="preserve">Az egyházak hitéleti és közcélú tevékenységének anyagi feltételeiről szóló 1997. évi CXXIV. törvény </w:t>
      </w:r>
      <w:r w:rsidRPr="009F709F">
        <w:rPr>
          <w:i/>
          <w:iCs/>
          <w:color w:val="auto"/>
        </w:rPr>
        <w:t xml:space="preserve">(a továbbiakban: </w:t>
      </w:r>
      <w:proofErr w:type="spellStart"/>
      <w:r w:rsidRPr="009F709F">
        <w:rPr>
          <w:i/>
          <w:iCs/>
          <w:color w:val="auto"/>
        </w:rPr>
        <w:t>Evftv</w:t>
      </w:r>
      <w:proofErr w:type="spellEnd"/>
      <w:r w:rsidRPr="009F709F">
        <w:rPr>
          <w:i/>
          <w:iCs/>
          <w:color w:val="auto"/>
        </w:rPr>
        <w:t>.)</w:t>
      </w:r>
      <w:r w:rsidRPr="009F709F">
        <w:rPr>
          <w:color w:val="auto"/>
        </w:rPr>
        <w:t xml:space="preserve"> 10.§ (2)-(3) bekezdése, valamint 11/</w:t>
      </w:r>
      <w:proofErr w:type="gramStart"/>
      <w:r w:rsidRPr="009F709F">
        <w:rPr>
          <w:color w:val="auto"/>
        </w:rPr>
        <w:t>A</w:t>
      </w:r>
      <w:proofErr w:type="gramEnd"/>
      <w:r w:rsidRPr="009F709F">
        <w:rPr>
          <w:color w:val="auto"/>
        </w:rPr>
        <w:t xml:space="preserve">. § szakasza értelmében az </w:t>
      </w:r>
      <w:r w:rsidRPr="009F709F">
        <w:rPr>
          <w:b/>
          <w:bCs/>
          <w:color w:val="auto"/>
        </w:rPr>
        <w:t>Esélytér Intézményfenntartó belső egyházi jogi személy</w:t>
      </w:r>
      <w:r w:rsidRPr="009F709F">
        <w:rPr>
          <w:color w:val="auto"/>
        </w:rPr>
        <w:t xml:space="preserve"> törvényes határidőben igénybejelentést nyújtott be Tiszavasvári Város Önkormányzat Képviselő-testületéhez jelen megállapodás II. címében felsorolt, önkormányzati tulajdonú ingatlanjainak </w:t>
      </w:r>
      <w:r w:rsidRPr="009F709F">
        <w:rPr>
          <w:b/>
          <w:bCs/>
          <w:color w:val="auto"/>
        </w:rPr>
        <w:t>ingyenes tulajdonjog átruházása tekintetében</w:t>
      </w:r>
      <w:r w:rsidRPr="009F709F">
        <w:rPr>
          <w:color w:val="auto"/>
        </w:rPr>
        <w:t xml:space="preserve">. A II. címben felsorolt ingatlanok oktatási-nevelés célú hasznosításban, jelenleg is az Esélytér Intézményfenntartó birtokában állnak. Az ingatlanokban a Tulajdonba vevő fenntartásában lévő </w:t>
      </w:r>
      <w:r w:rsidRPr="009F709F">
        <w:rPr>
          <w:b/>
          <w:bCs/>
          <w:color w:val="auto"/>
        </w:rPr>
        <w:t>Magiszter Óvoda, Általános Iskola, Középiskola, Szakképző Iskola és Alapfokú Művészeti Iskola működik.</w:t>
      </w:r>
      <w:r w:rsidRPr="009F709F">
        <w:rPr>
          <w:color w:val="auto"/>
        </w:rPr>
        <w:t xml:space="preserve"> Az Esélytér Intézményfenntartó igénybejelentését </w:t>
      </w:r>
      <w:r w:rsidRPr="009F709F">
        <w:rPr>
          <w:b/>
          <w:bCs/>
          <w:color w:val="auto"/>
        </w:rPr>
        <w:t>Tiszavasvári Város Önkormányzatának Képviselő-testülete</w:t>
      </w:r>
      <w:r w:rsidRPr="009F709F">
        <w:rPr>
          <w:color w:val="auto"/>
        </w:rPr>
        <w:t xml:space="preserve"> tudomásul vette; az Esélytér Intézményfenntartó részére </w:t>
      </w:r>
      <w:r w:rsidRPr="009F709F">
        <w:rPr>
          <w:b/>
          <w:bCs/>
          <w:color w:val="auto"/>
        </w:rPr>
        <w:t>történő ingyenes tulajdonjog-átruházást 102/2023 (IV.27.) Kt. számú határozatával jóváhagyta. (A határozat jelen megállapodás 1. sz., elválaszthatatlan mellékletét képezi.)</w:t>
      </w:r>
    </w:p>
    <w:p w:rsidR="00AF12E1" w:rsidRPr="009F709F" w:rsidRDefault="00AF12E1" w:rsidP="00AF12E1">
      <w:pPr>
        <w:pStyle w:val="Default"/>
        <w:jc w:val="both"/>
        <w:rPr>
          <w:b/>
          <w:bCs/>
          <w:color w:val="auto"/>
        </w:rPr>
      </w:pPr>
    </w:p>
    <w:p w:rsidR="00AF12E1" w:rsidRPr="009F709F" w:rsidRDefault="00AF12E1" w:rsidP="00AF12E1">
      <w:pPr>
        <w:pStyle w:val="Default"/>
        <w:jc w:val="both"/>
        <w:rPr>
          <w:b/>
          <w:bCs/>
          <w:color w:val="auto"/>
        </w:rPr>
      </w:pPr>
      <w:r w:rsidRPr="009F709F">
        <w:rPr>
          <w:b/>
          <w:bCs/>
          <w:color w:val="auto"/>
        </w:rPr>
        <w:t xml:space="preserve">I.2. </w:t>
      </w:r>
      <w:r w:rsidRPr="009F709F">
        <w:rPr>
          <w:color w:val="auto"/>
        </w:rPr>
        <w:t xml:space="preserve">A nemzeti vagyonról </w:t>
      </w:r>
      <w:r w:rsidRPr="009F709F">
        <w:rPr>
          <w:i/>
          <w:iCs/>
          <w:color w:val="auto"/>
        </w:rPr>
        <w:t xml:space="preserve">szóló 2011. évi CXCVI. törvény (a továbbiakban: </w:t>
      </w:r>
      <w:proofErr w:type="spellStart"/>
      <w:r w:rsidRPr="009F709F">
        <w:rPr>
          <w:i/>
          <w:iCs/>
          <w:color w:val="auto"/>
        </w:rPr>
        <w:t>Nvtv</w:t>
      </w:r>
      <w:proofErr w:type="spellEnd"/>
      <w:r w:rsidRPr="009F709F">
        <w:rPr>
          <w:i/>
          <w:iCs/>
          <w:color w:val="auto"/>
        </w:rPr>
        <w:t>.)</w:t>
      </w:r>
      <w:r w:rsidRPr="009F709F">
        <w:rPr>
          <w:color w:val="auto"/>
        </w:rPr>
        <w:t xml:space="preserve"> 13. § (2) bekezdése szerint a nemzeti vagyon – így önkormányzati tulajdon - tulajdonjogát átruházni természetes személy vagy </w:t>
      </w:r>
      <w:r w:rsidRPr="009F709F">
        <w:rPr>
          <w:b/>
          <w:bCs/>
          <w:color w:val="auto"/>
        </w:rPr>
        <w:t>átlátható szervezet részére lehet</w:t>
      </w:r>
      <w:r w:rsidRPr="009F709F">
        <w:rPr>
          <w:color w:val="auto"/>
        </w:rPr>
        <w:t xml:space="preserve">. Az </w:t>
      </w:r>
      <w:proofErr w:type="spellStart"/>
      <w:r w:rsidRPr="009F709F">
        <w:rPr>
          <w:color w:val="auto"/>
        </w:rPr>
        <w:t>Nvtv</w:t>
      </w:r>
      <w:proofErr w:type="spellEnd"/>
      <w:r w:rsidRPr="009F709F">
        <w:rPr>
          <w:color w:val="auto"/>
        </w:rPr>
        <w:t xml:space="preserve">. 3. § (1) bekezdésének a) pontja alapján az egyházi jogi személy, mint az </w:t>
      </w:r>
      <w:r w:rsidRPr="009F709F">
        <w:rPr>
          <w:b/>
          <w:bCs/>
          <w:color w:val="auto"/>
        </w:rPr>
        <w:t xml:space="preserve">Esélytér Intézményfenntartó, mint a Magyar Pünkösdi Egyház, bevett egyház belső egyházi jogi személye is, átlátható szervezetnek minősül. </w:t>
      </w:r>
    </w:p>
    <w:p w:rsidR="00AF12E1" w:rsidRPr="009F709F" w:rsidRDefault="00AF12E1" w:rsidP="00AF12E1">
      <w:pPr>
        <w:pStyle w:val="Default"/>
        <w:jc w:val="both"/>
        <w:rPr>
          <w:b/>
          <w:bCs/>
          <w:color w:val="auto"/>
        </w:rPr>
      </w:pPr>
    </w:p>
    <w:p w:rsidR="00AF12E1" w:rsidRPr="009F709F" w:rsidRDefault="00AF12E1" w:rsidP="00AF12E1">
      <w:pPr>
        <w:pStyle w:val="Default"/>
        <w:jc w:val="both"/>
        <w:rPr>
          <w:b/>
          <w:bCs/>
          <w:color w:val="auto"/>
        </w:rPr>
      </w:pPr>
      <w:r w:rsidRPr="009F709F">
        <w:rPr>
          <w:b/>
          <w:bCs/>
          <w:color w:val="auto"/>
        </w:rPr>
        <w:t>I.3.</w:t>
      </w:r>
      <w:r w:rsidRPr="009F709F">
        <w:rPr>
          <w:color w:val="auto"/>
        </w:rPr>
        <w:t xml:space="preserve"> Magyarország helyi önkormányzatairól szóló </w:t>
      </w:r>
      <w:r w:rsidRPr="009F709F">
        <w:rPr>
          <w:i/>
          <w:iCs/>
          <w:color w:val="auto"/>
        </w:rPr>
        <w:t>2011. évi CLXXXIX. törvény</w:t>
      </w:r>
      <w:r w:rsidRPr="009F709F">
        <w:rPr>
          <w:color w:val="auto"/>
        </w:rPr>
        <w:t xml:space="preserve"> (a továbbiakban: </w:t>
      </w:r>
      <w:proofErr w:type="spellStart"/>
      <w:r w:rsidRPr="009F709F">
        <w:rPr>
          <w:color w:val="auto"/>
        </w:rPr>
        <w:t>Mötv</w:t>
      </w:r>
      <w:proofErr w:type="spellEnd"/>
      <w:r w:rsidRPr="009F709F">
        <w:rPr>
          <w:color w:val="auto"/>
        </w:rPr>
        <w:t xml:space="preserve">.) 108. § (2) bekezdésének b) pontja alapján a </w:t>
      </w:r>
      <w:r w:rsidRPr="009F709F">
        <w:rPr>
          <w:b/>
          <w:bCs/>
          <w:color w:val="auto"/>
        </w:rPr>
        <w:t>helyi önkormányzat tulajdonában álló nemzeti vagyon tulajdonjoga ingyenesen átruházható egyház,</w:t>
      </w:r>
      <w:r w:rsidRPr="009F709F">
        <w:rPr>
          <w:color w:val="auto"/>
        </w:rPr>
        <w:t xml:space="preserve"> </w:t>
      </w:r>
      <w:r w:rsidRPr="009F709F">
        <w:rPr>
          <w:b/>
          <w:bCs/>
          <w:color w:val="auto"/>
        </w:rPr>
        <w:t xml:space="preserve">egyházi jogi személy részére hitéleti feladatai elősegítése vagy az általa végzett állami, </w:t>
      </w:r>
      <w:r w:rsidRPr="009F709F">
        <w:rPr>
          <w:b/>
          <w:bCs/>
          <w:color w:val="auto"/>
        </w:rPr>
        <w:lastRenderedPageBreak/>
        <w:t>önkormányzati – így különösen oktatási, szociális, család,- gyermek- és ifjúságvédelmi, kulturális – feladatok ellátásának elősegítése érdekében.</w:t>
      </w:r>
    </w:p>
    <w:p w:rsidR="00AF12E1" w:rsidRPr="009F709F" w:rsidRDefault="00AF12E1" w:rsidP="00AF12E1">
      <w:pPr>
        <w:pStyle w:val="Default"/>
        <w:jc w:val="both"/>
        <w:rPr>
          <w:color w:val="auto"/>
        </w:rPr>
      </w:pPr>
    </w:p>
    <w:p w:rsidR="00AF12E1" w:rsidRPr="009F709F" w:rsidRDefault="00AF12E1" w:rsidP="00AF12E1">
      <w:pPr>
        <w:pStyle w:val="Default"/>
        <w:jc w:val="both"/>
        <w:rPr>
          <w:color w:val="auto"/>
        </w:rPr>
      </w:pPr>
      <w:r w:rsidRPr="009F709F">
        <w:rPr>
          <w:b/>
          <w:bCs/>
          <w:color w:val="auto"/>
        </w:rPr>
        <w:t xml:space="preserve">I.4. </w:t>
      </w:r>
      <w:r w:rsidRPr="009F709F">
        <w:rPr>
          <w:color w:val="auto"/>
        </w:rPr>
        <w:t xml:space="preserve">Az Önkormányzat kijelenti, hogy az ingyenes vagyonátruházás a </w:t>
      </w:r>
      <w:proofErr w:type="spellStart"/>
      <w:r w:rsidRPr="009F709F">
        <w:rPr>
          <w:color w:val="auto"/>
        </w:rPr>
        <w:t>Mötv</w:t>
      </w:r>
      <w:proofErr w:type="spellEnd"/>
      <w:r w:rsidRPr="009F709F">
        <w:rPr>
          <w:color w:val="auto"/>
        </w:rPr>
        <w:t>. 108. § (3) bekezdése alapján az Önkormányzat kötelezően ellátandó feladatainak ellátását nem veszélyezteti és az Önkormányzati feladathoz vagy ezek finanszírozási forrásának biztosításához, vagy az Önkormányzati költségvetési bevételi előirányzatok teljesítéséhez nem szükséges.</w:t>
      </w:r>
    </w:p>
    <w:p w:rsidR="00AF12E1" w:rsidRPr="009F709F" w:rsidRDefault="00AF12E1" w:rsidP="00AF12E1">
      <w:pPr>
        <w:pStyle w:val="Default"/>
        <w:jc w:val="both"/>
        <w:rPr>
          <w:color w:val="auto"/>
        </w:rPr>
      </w:pPr>
    </w:p>
    <w:p w:rsidR="00AF12E1" w:rsidRPr="009F709F" w:rsidRDefault="00AF12E1" w:rsidP="00AF12E1">
      <w:pPr>
        <w:pStyle w:val="Default"/>
        <w:jc w:val="both"/>
        <w:rPr>
          <w:color w:val="auto"/>
        </w:rPr>
      </w:pPr>
    </w:p>
    <w:p w:rsidR="00AF12E1" w:rsidRPr="009F709F" w:rsidRDefault="00AF12E1" w:rsidP="00AF12E1">
      <w:pPr>
        <w:pStyle w:val="Default"/>
        <w:jc w:val="center"/>
        <w:rPr>
          <w:b/>
          <w:bCs/>
          <w:color w:val="auto"/>
        </w:rPr>
      </w:pPr>
      <w:r w:rsidRPr="009F709F">
        <w:rPr>
          <w:b/>
          <w:bCs/>
          <w:color w:val="auto"/>
        </w:rPr>
        <w:t xml:space="preserve">II. </w:t>
      </w:r>
      <w:proofErr w:type="gramStart"/>
      <w:r w:rsidRPr="009F709F">
        <w:rPr>
          <w:b/>
          <w:bCs/>
          <w:color w:val="auto"/>
        </w:rPr>
        <w:t>A</w:t>
      </w:r>
      <w:proofErr w:type="gramEnd"/>
      <w:r w:rsidRPr="009F709F">
        <w:rPr>
          <w:b/>
          <w:bCs/>
          <w:color w:val="auto"/>
        </w:rPr>
        <w:t xml:space="preserve"> jelen megállapodás tárgya</w:t>
      </w:r>
    </w:p>
    <w:p w:rsidR="00AF12E1" w:rsidRPr="009F709F" w:rsidRDefault="00AF12E1" w:rsidP="00AF12E1">
      <w:pPr>
        <w:pStyle w:val="Default"/>
        <w:jc w:val="center"/>
        <w:rPr>
          <w:b/>
          <w:bCs/>
          <w:color w:val="auto"/>
        </w:rPr>
      </w:pPr>
    </w:p>
    <w:p w:rsidR="00AF12E1" w:rsidRPr="009F709F" w:rsidRDefault="00AF12E1" w:rsidP="00AF12E1">
      <w:pPr>
        <w:pStyle w:val="Default"/>
        <w:rPr>
          <w:color w:val="auto"/>
        </w:rPr>
      </w:pPr>
      <w:r w:rsidRPr="009F709F">
        <w:rPr>
          <w:b/>
          <w:bCs/>
          <w:color w:val="auto"/>
        </w:rPr>
        <w:t>II. 1</w:t>
      </w:r>
      <w:r w:rsidRPr="009F709F">
        <w:rPr>
          <w:color w:val="auto"/>
        </w:rPr>
        <w:t xml:space="preserve">. Szerződő Felek rögzítik, hogy az Önkormányzat </w:t>
      </w:r>
      <w:r w:rsidRPr="009F709F">
        <w:rPr>
          <w:b/>
          <w:bCs/>
          <w:color w:val="auto"/>
        </w:rPr>
        <w:t>1/</w:t>
      </w:r>
      <w:proofErr w:type="spellStart"/>
      <w:r w:rsidRPr="009F709F">
        <w:rPr>
          <w:b/>
          <w:bCs/>
          <w:color w:val="auto"/>
        </w:rPr>
        <w:t>1</w:t>
      </w:r>
      <w:proofErr w:type="spellEnd"/>
      <w:r w:rsidRPr="009F709F">
        <w:rPr>
          <w:b/>
          <w:bCs/>
          <w:color w:val="auto"/>
        </w:rPr>
        <w:t xml:space="preserve"> arányú, kizárólagos tulajdonát képezik</w:t>
      </w:r>
      <w:r w:rsidRPr="009F709F">
        <w:rPr>
          <w:color w:val="auto"/>
        </w:rPr>
        <w:t xml:space="preserve"> alábbi ingatlanok (a továbbiakban: Ingatlanok):</w:t>
      </w:r>
    </w:p>
    <w:p w:rsidR="00AF12E1" w:rsidRPr="009F709F" w:rsidRDefault="00AF12E1" w:rsidP="00AF12E1">
      <w:pPr>
        <w:pStyle w:val="Default"/>
        <w:rPr>
          <w:color w:val="auto"/>
        </w:rPr>
      </w:pPr>
    </w:p>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951"/>
        <w:gridCol w:w="993"/>
        <w:gridCol w:w="1984"/>
        <w:gridCol w:w="992"/>
        <w:gridCol w:w="1843"/>
        <w:gridCol w:w="1984"/>
      </w:tblGrid>
      <w:tr w:rsidR="00AF12E1" w:rsidRPr="009F709F" w:rsidTr="006D17A8">
        <w:trPr>
          <w:trHeight w:val="228"/>
        </w:trPr>
        <w:tc>
          <w:tcPr>
            <w:tcW w:w="1951" w:type="dxa"/>
            <w:tcBorders>
              <w:top w:val="none" w:sz="6" w:space="0" w:color="auto"/>
              <w:bottom w:val="none" w:sz="6" w:space="0" w:color="auto"/>
              <w:right w:val="none" w:sz="6" w:space="0" w:color="auto"/>
            </w:tcBorders>
          </w:tcPr>
          <w:p w:rsidR="00AF12E1" w:rsidRPr="009F709F" w:rsidRDefault="00AF12E1" w:rsidP="006D17A8">
            <w:pPr>
              <w:pStyle w:val="Default"/>
            </w:pPr>
            <w:r w:rsidRPr="009F709F">
              <w:rPr>
                <w:b/>
                <w:bCs/>
                <w:color w:val="auto"/>
              </w:rPr>
              <w:t>Település</w:t>
            </w:r>
          </w:p>
          <w:p w:rsidR="00AF12E1" w:rsidRPr="009F709F" w:rsidRDefault="00AF12E1" w:rsidP="006D17A8">
            <w:pPr>
              <w:pStyle w:val="Default"/>
            </w:pPr>
          </w:p>
        </w:tc>
        <w:tc>
          <w:tcPr>
            <w:tcW w:w="993"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pPr>
            <w:r w:rsidRPr="009F709F">
              <w:rPr>
                <w:b/>
                <w:bCs/>
              </w:rPr>
              <w:t>Hrsz.</w:t>
            </w:r>
          </w:p>
        </w:tc>
        <w:tc>
          <w:tcPr>
            <w:tcW w:w="1984"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Természetben</w:t>
            </w:r>
          </w:p>
          <w:p w:rsidR="00AF12E1" w:rsidRPr="009F709F" w:rsidRDefault="00AF12E1" w:rsidP="006D17A8">
            <w:pPr>
              <w:pStyle w:val="Default"/>
            </w:pPr>
            <w:r w:rsidRPr="009F709F">
              <w:rPr>
                <w:b/>
                <w:bCs/>
              </w:rPr>
              <w:t xml:space="preserve">megtalálható </w:t>
            </w:r>
          </w:p>
        </w:tc>
        <w:tc>
          <w:tcPr>
            <w:tcW w:w="992"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pPr>
            <w:r w:rsidRPr="009F709F">
              <w:rPr>
                <w:b/>
                <w:bCs/>
              </w:rPr>
              <w:t>Terület</w:t>
            </w:r>
          </w:p>
          <w:p w:rsidR="00AF12E1" w:rsidRPr="009F709F" w:rsidRDefault="00AF12E1" w:rsidP="006D17A8">
            <w:pPr>
              <w:pStyle w:val="Default"/>
            </w:pPr>
            <w:r w:rsidRPr="009F709F">
              <w:rPr>
                <w:b/>
                <w:bCs/>
              </w:rPr>
              <w:t>m²</w:t>
            </w:r>
          </w:p>
        </w:tc>
        <w:tc>
          <w:tcPr>
            <w:tcW w:w="1843"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b/>
                <w:bCs/>
                <w:highlight w:val="yellow"/>
              </w:rPr>
            </w:pPr>
            <w:proofErr w:type="spellStart"/>
            <w:r w:rsidRPr="003D65B2">
              <w:rPr>
                <w:b/>
                <w:bCs/>
              </w:rPr>
              <w:t>Ingatlannyilvántartási</w:t>
            </w:r>
            <w:proofErr w:type="spellEnd"/>
            <w:r w:rsidRPr="003D65B2">
              <w:rPr>
                <w:b/>
                <w:bCs/>
              </w:rPr>
              <w:t xml:space="preserve"> megnevezés</w:t>
            </w:r>
          </w:p>
        </w:tc>
        <w:tc>
          <w:tcPr>
            <w:tcW w:w="1984" w:type="dxa"/>
            <w:tcBorders>
              <w:top w:val="none" w:sz="6" w:space="0" w:color="auto"/>
              <w:left w:val="none" w:sz="6" w:space="0" w:color="auto"/>
              <w:bottom w:val="none" w:sz="6" w:space="0" w:color="auto"/>
            </w:tcBorders>
          </w:tcPr>
          <w:p w:rsidR="00AF12E1" w:rsidRPr="003C0708" w:rsidRDefault="00AF12E1" w:rsidP="006D17A8">
            <w:pPr>
              <w:pStyle w:val="Default"/>
            </w:pPr>
            <w:r w:rsidRPr="003C0708">
              <w:rPr>
                <w:b/>
                <w:bCs/>
              </w:rPr>
              <w:t>Becsült forgalmi érték (Ft)</w:t>
            </w:r>
          </w:p>
        </w:tc>
      </w:tr>
      <w:tr w:rsidR="00AF12E1" w:rsidRPr="009F709F" w:rsidTr="006D17A8">
        <w:trPr>
          <w:trHeight w:val="353"/>
        </w:trPr>
        <w:tc>
          <w:tcPr>
            <w:tcW w:w="1951" w:type="dxa"/>
            <w:tcBorders>
              <w:top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4440 Tiszavasvári, belterület</w:t>
            </w:r>
          </w:p>
        </w:tc>
        <w:tc>
          <w:tcPr>
            <w:tcW w:w="993"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2699/1</w:t>
            </w:r>
          </w:p>
        </w:tc>
        <w:tc>
          <w:tcPr>
            <w:tcW w:w="1984"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Petőfi utca 8. sz.</w:t>
            </w:r>
          </w:p>
        </w:tc>
        <w:tc>
          <w:tcPr>
            <w:tcW w:w="992"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pPr>
            <w:r>
              <w:t>5686</w:t>
            </w:r>
          </w:p>
        </w:tc>
        <w:tc>
          <w:tcPr>
            <w:tcW w:w="1843"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highlight w:val="yellow"/>
              </w:rPr>
            </w:pPr>
            <w:r w:rsidRPr="005D18AE">
              <w:t>kivett általános iskola</w:t>
            </w:r>
          </w:p>
        </w:tc>
        <w:tc>
          <w:tcPr>
            <w:tcW w:w="1984" w:type="dxa"/>
            <w:tcBorders>
              <w:top w:val="none" w:sz="6" w:space="0" w:color="auto"/>
              <w:left w:val="none" w:sz="6" w:space="0" w:color="auto"/>
              <w:bottom w:val="none" w:sz="6" w:space="0" w:color="auto"/>
            </w:tcBorders>
          </w:tcPr>
          <w:p w:rsidR="00AF12E1" w:rsidRPr="003C0708" w:rsidRDefault="00AF12E1" w:rsidP="006D17A8">
            <w:pPr>
              <w:pStyle w:val="Default"/>
            </w:pPr>
            <w:r w:rsidRPr="003C0708">
              <w:t>142.956.000,-</w:t>
            </w:r>
          </w:p>
        </w:tc>
      </w:tr>
      <w:tr w:rsidR="00AF12E1" w:rsidRPr="009F709F" w:rsidTr="006D17A8">
        <w:trPr>
          <w:trHeight w:val="352"/>
        </w:trPr>
        <w:tc>
          <w:tcPr>
            <w:tcW w:w="1951" w:type="dxa"/>
            <w:tcBorders>
              <w:top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4440Tiszavasvári, belterület</w:t>
            </w:r>
          </w:p>
        </w:tc>
        <w:tc>
          <w:tcPr>
            <w:tcW w:w="993"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2686/2</w:t>
            </w:r>
          </w:p>
        </w:tc>
        <w:tc>
          <w:tcPr>
            <w:tcW w:w="1984"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Petőfi u. 24. sz.</w:t>
            </w:r>
          </w:p>
        </w:tc>
        <w:tc>
          <w:tcPr>
            <w:tcW w:w="992"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pPr>
            <w:r>
              <w:t>1968</w:t>
            </w:r>
          </w:p>
        </w:tc>
        <w:tc>
          <w:tcPr>
            <w:tcW w:w="1843" w:type="dxa"/>
            <w:tcBorders>
              <w:top w:val="none" w:sz="6" w:space="0" w:color="auto"/>
              <w:left w:val="none" w:sz="6" w:space="0" w:color="auto"/>
              <w:bottom w:val="none" w:sz="6" w:space="0" w:color="auto"/>
              <w:right w:val="none" w:sz="6" w:space="0" w:color="auto"/>
            </w:tcBorders>
          </w:tcPr>
          <w:p w:rsidR="00AF12E1" w:rsidRPr="005D18AE" w:rsidRDefault="00AF12E1" w:rsidP="006D17A8">
            <w:pPr>
              <w:pStyle w:val="Default"/>
            </w:pPr>
            <w:r w:rsidRPr="005D18AE">
              <w:t>kivett általános iskola</w:t>
            </w:r>
            <w:r>
              <w:t xml:space="preserve"> és óvoda</w:t>
            </w:r>
          </w:p>
        </w:tc>
        <w:tc>
          <w:tcPr>
            <w:tcW w:w="1984" w:type="dxa"/>
            <w:tcBorders>
              <w:top w:val="none" w:sz="6" w:space="0" w:color="auto"/>
              <w:left w:val="none" w:sz="6" w:space="0" w:color="auto"/>
              <w:bottom w:val="none" w:sz="6" w:space="0" w:color="auto"/>
            </w:tcBorders>
          </w:tcPr>
          <w:p w:rsidR="00AF12E1" w:rsidRPr="003C0708" w:rsidRDefault="00AF12E1" w:rsidP="006D17A8">
            <w:pPr>
              <w:pStyle w:val="Default"/>
            </w:pPr>
            <w:r w:rsidRPr="003C0708">
              <w:t xml:space="preserve">  27.702.000,-</w:t>
            </w:r>
          </w:p>
        </w:tc>
      </w:tr>
      <w:tr w:rsidR="00AF12E1" w:rsidRPr="009F709F" w:rsidTr="006D17A8">
        <w:trPr>
          <w:trHeight w:val="353"/>
        </w:trPr>
        <w:tc>
          <w:tcPr>
            <w:tcW w:w="1951" w:type="dxa"/>
            <w:tcBorders>
              <w:top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4440 Tiszavasvári, belterület</w:t>
            </w:r>
          </w:p>
        </w:tc>
        <w:tc>
          <w:tcPr>
            <w:tcW w:w="993"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2708</w:t>
            </w:r>
          </w:p>
        </w:tc>
        <w:tc>
          <w:tcPr>
            <w:tcW w:w="1984"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b/>
                <w:bCs/>
              </w:rPr>
            </w:pPr>
            <w:r w:rsidRPr="009F709F">
              <w:rPr>
                <w:b/>
                <w:bCs/>
              </w:rPr>
              <w:t>Kossuth u. 76.</w:t>
            </w:r>
          </w:p>
        </w:tc>
        <w:tc>
          <w:tcPr>
            <w:tcW w:w="992"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pPr>
            <w:r>
              <w:t>5946</w:t>
            </w:r>
          </w:p>
        </w:tc>
        <w:tc>
          <w:tcPr>
            <w:tcW w:w="1843" w:type="dxa"/>
            <w:tcBorders>
              <w:top w:val="none" w:sz="6" w:space="0" w:color="auto"/>
              <w:left w:val="none" w:sz="6" w:space="0" w:color="auto"/>
              <w:bottom w:val="none" w:sz="6" w:space="0" w:color="auto"/>
              <w:right w:val="none" w:sz="6" w:space="0" w:color="auto"/>
            </w:tcBorders>
          </w:tcPr>
          <w:p w:rsidR="00AF12E1" w:rsidRPr="009F709F" w:rsidRDefault="00AF12E1" w:rsidP="006D17A8">
            <w:pPr>
              <w:pStyle w:val="Default"/>
              <w:rPr>
                <w:highlight w:val="yellow"/>
              </w:rPr>
            </w:pPr>
            <w:r w:rsidRPr="005D18AE">
              <w:t>kivett általános iskola</w:t>
            </w:r>
          </w:p>
        </w:tc>
        <w:tc>
          <w:tcPr>
            <w:tcW w:w="1984" w:type="dxa"/>
            <w:tcBorders>
              <w:top w:val="none" w:sz="6" w:space="0" w:color="auto"/>
              <w:left w:val="none" w:sz="6" w:space="0" w:color="auto"/>
              <w:bottom w:val="none" w:sz="6" w:space="0" w:color="auto"/>
            </w:tcBorders>
          </w:tcPr>
          <w:p w:rsidR="00AF12E1" w:rsidRPr="003C0708" w:rsidRDefault="00AF12E1" w:rsidP="006D17A8">
            <w:pPr>
              <w:pStyle w:val="Default"/>
            </w:pPr>
            <w:r>
              <w:t>424.194.891,-</w:t>
            </w:r>
          </w:p>
        </w:tc>
      </w:tr>
    </w:tbl>
    <w:p w:rsidR="00AF12E1" w:rsidRDefault="00AF12E1" w:rsidP="00AF12E1">
      <w:pPr>
        <w:rPr>
          <w:sz w:val="24"/>
          <w:szCs w:val="24"/>
        </w:rPr>
      </w:pPr>
    </w:p>
    <w:p w:rsidR="00AF12E1" w:rsidRPr="000B0D1D" w:rsidRDefault="00AF12E1" w:rsidP="00AF12E1">
      <w:pPr>
        <w:jc w:val="both"/>
        <w:rPr>
          <w:rFonts w:ascii="Times New Roman" w:hAnsi="Times New Roman" w:cs="Times New Roman"/>
          <w:b/>
          <w:bCs/>
          <w:sz w:val="24"/>
          <w:szCs w:val="24"/>
        </w:rPr>
      </w:pPr>
      <w:r w:rsidRPr="000B0D1D">
        <w:rPr>
          <w:rFonts w:ascii="Times New Roman" w:hAnsi="Times New Roman" w:cs="Times New Roman"/>
          <w:b/>
          <w:bCs/>
          <w:sz w:val="24"/>
          <w:szCs w:val="24"/>
        </w:rPr>
        <w:t>II. 2</w:t>
      </w:r>
      <w:r w:rsidRPr="000B0D1D">
        <w:rPr>
          <w:rFonts w:ascii="Times New Roman" w:hAnsi="Times New Roman" w:cs="Times New Roman"/>
          <w:sz w:val="24"/>
          <w:szCs w:val="24"/>
        </w:rPr>
        <w:t xml:space="preserve">. A fent nevezett Ingatlanokat 594.852.891 forint, azaz ötszázkilencvennégymillió-nyolcszázötvenkettőezer-nyolcszázkilencvenegy forint, becsült forgalmi összértékben </w:t>
      </w:r>
      <w:r w:rsidRPr="000B0D1D">
        <w:rPr>
          <w:rFonts w:ascii="Times New Roman" w:hAnsi="Times New Roman" w:cs="Times New Roman"/>
          <w:b/>
          <w:bCs/>
          <w:sz w:val="24"/>
          <w:szCs w:val="24"/>
        </w:rPr>
        <w:t xml:space="preserve">Önkormányzat ingyenes </w:t>
      </w:r>
      <w:proofErr w:type="spellStart"/>
      <w:r w:rsidRPr="000B0D1D">
        <w:rPr>
          <w:rFonts w:ascii="Times New Roman" w:hAnsi="Times New Roman" w:cs="Times New Roman"/>
          <w:b/>
          <w:bCs/>
          <w:sz w:val="24"/>
          <w:szCs w:val="24"/>
        </w:rPr>
        <w:t>tulajdonátruházás</w:t>
      </w:r>
      <w:proofErr w:type="spellEnd"/>
      <w:r w:rsidRPr="000B0D1D">
        <w:rPr>
          <w:rFonts w:ascii="Times New Roman" w:hAnsi="Times New Roman" w:cs="Times New Roman"/>
          <w:b/>
          <w:bCs/>
          <w:sz w:val="24"/>
          <w:szCs w:val="24"/>
        </w:rPr>
        <w:t xml:space="preserve"> útján Tulajdonba vevő tulajdonába adja, Tulajdonba vevő pedig azokat ingyenesen tulajdonba veszi, </w:t>
      </w:r>
      <w:r w:rsidRPr="000B0D1D">
        <w:rPr>
          <w:rFonts w:ascii="Times New Roman" w:hAnsi="Times New Roman" w:cs="Times New Roman"/>
          <w:sz w:val="24"/>
          <w:szCs w:val="24"/>
        </w:rPr>
        <w:t>az egyházak hitéleti és közcélú tevékenységének anyagi feltételeiről szóló 1997. évi CXXIV. tv. 13. § (3) bekezdés alapján</w:t>
      </w:r>
      <w:r w:rsidRPr="000B0D1D">
        <w:rPr>
          <w:rFonts w:ascii="Times New Roman" w:hAnsi="Times New Roman" w:cs="Times New Roman"/>
          <w:b/>
          <w:bCs/>
          <w:sz w:val="24"/>
          <w:szCs w:val="24"/>
        </w:rPr>
        <w:t>.</w:t>
      </w:r>
    </w:p>
    <w:p w:rsidR="00AF12E1" w:rsidRPr="000B0D1D" w:rsidRDefault="00AF12E1" w:rsidP="00AF12E1">
      <w:pPr>
        <w:jc w:val="both"/>
        <w:rPr>
          <w:rFonts w:ascii="Times New Roman" w:hAnsi="Times New Roman" w:cs="Times New Roman"/>
          <w:sz w:val="24"/>
          <w:szCs w:val="24"/>
        </w:rPr>
      </w:pPr>
      <w:r w:rsidRPr="000B0D1D">
        <w:rPr>
          <w:rFonts w:ascii="Times New Roman" w:hAnsi="Times New Roman" w:cs="Times New Roman"/>
          <w:b/>
          <w:bCs/>
          <w:sz w:val="24"/>
          <w:szCs w:val="24"/>
        </w:rPr>
        <w:t>II.3.</w:t>
      </w:r>
      <w:r w:rsidRPr="000B0D1D">
        <w:rPr>
          <w:rFonts w:ascii="Times New Roman" w:hAnsi="Times New Roman" w:cs="Times New Roman"/>
          <w:sz w:val="24"/>
          <w:szCs w:val="24"/>
        </w:rPr>
        <w:t xml:space="preserve"> Az Önkormányzat kijelenti, hogy az ingatlan-nyilvántartásban a következő terhek vannak feltüntetve az egyes Ingatlanok tekintetében:</w:t>
      </w:r>
    </w:p>
    <w:p w:rsidR="00AF12E1" w:rsidRPr="000B0D1D" w:rsidRDefault="00AF12E1" w:rsidP="00AF12E1">
      <w:pPr>
        <w:jc w:val="both"/>
        <w:rPr>
          <w:rFonts w:ascii="Times New Roman" w:hAnsi="Times New Roman" w:cs="Times New Roman"/>
          <w:sz w:val="24"/>
          <w:szCs w:val="24"/>
        </w:rPr>
      </w:pPr>
      <w:r w:rsidRPr="000B0D1D">
        <w:rPr>
          <w:rFonts w:ascii="Times New Roman" w:hAnsi="Times New Roman" w:cs="Times New Roman"/>
          <w:sz w:val="24"/>
          <w:szCs w:val="24"/>
        </w:rPr>
        <w:t xml:space="preserve">2699/1 helyrajzi számú ingatlan: </w:t>
      </w:r>
    </w:p>
    <w:p w:rsidR="00AF12E1" w:rsidRPr="000B0D1D" w:rsidRDefault="00AF12E1" w:rsidP="00AF12E1">
      <w:pPr>
        <w:numPr>
          <w:ilvl w:val="0"/>
          <w:numId w:val="3"/>
        </w:numPr>
        <w:spacing w:after="0" w:line="240" w:lineRule="auto"/>
        <w:jc w:val="both"/>
        <w:rPr>
          <w:rFonts w:ascii="Times New Roman" w:hAnsi="Times New Roman" w:cs="Times New Roman"/>
          <w:sz w:val="24"/>
          <w:szCs w:val="24"/>
        </w:rPr>
      </w:pPr>
      <w:r w:rsidRPr="000B0D1D">
        <w:rPr>
          <w:rFonts w:ascii="Times New Roman" w:hAnsi="Times New Roman" w:cs="Times New Roman"/>
          <w:sz w:val="24"/>
          <w:szCs w:val="24"/>
        </w:rPr>
        <w:t>szolgalmi jog - szennyvízvezeték 100 m2 területre - jogosult: Tiszavasvári Város Önkormányzata</w:t>
      </w:r>
    </w:p>
    <w:p w:rsidR="00AF12E1" w:rsidRPr="000B0D1D" w:rsidRDefault="00AF12E1" w:rsidP="00AF12E1">
      <w:pPr>
        <w:numPr>
          <w:ilvl w:val="0"/>
          <w:numId w:val="3"/>
        </w:numPr>
        <w:spacing w:after="0" w:line="240" w:lineRule="auto"/>
        <w:jc w:val="both"/>
        <w:rPr>
          <w:rFonts w:ascii="Times New Roman" w:hAnsi="Times New Roman" w:cs="Times New Roman"/>
          <w:sz w:val="24"/>
          <w:szCs w:val="24"/>
        </w:rPr>
      </w:pPr>
      <w:r w:rsidRPr="000B0D1D">
        <w:rPr>
          <w:rFonts w:ascii="Times New Roman" w:hAnsi="Times New Roman" w:cs="Times New Roman"/>
          <w:sz w:val="24"/>
          <w:szCs w:val="24"/>
        </w:rPr>
        <w:t>használat joga - jogosult: Magyarországi Magiszter Alapítvány</w:t>
      </w:r>
    </w:p>
    <w:p w:rsidR="00AF12E1" w:rsidRPr="000B0D1D" w:rsidRDefault="00AF12E1" w:rsidP="00AF12E1">
      <w:pPr>
        <w:jc w:val="both"/>
        <w:rPr>
          <w:rFonts w:ascii="Times New Roman" w:hAnsi="Times New Roman" w:cs="Times New Roman"/>
          <w:sz w:val="24"/>
          <w:szCs w:val="24"/>
        </w:rPr>
      </w:pPr>
      <w:r w:rsidRPr="000B0D1D">
        <w:rPr>
          <w:rFonts w:ascii="Times New Roman" w:hAnsi="Times New Roman" w:cs="Times New Roman"/>
          <w:sz w:val="24"/>
          <w:szCs w:val="24"/>
        </w:rPr>
        <w:t>2686/2 helyrajzi számú ingatlan: használat joga - jogosult: Magyarországi Magiszter Alapítvány</w:t>
      </w:r>
    </w:p>
    <w:p w:rsidR="00AF12E1" w:rsidRPr="000B0D1D" w:rsidRDefault="00AF12E1" w:rsidP="00AF12E1">
      <w:pPr>
        <w:jc w:val="both"/>
        <w:rPr>
          <w:rFonts w:ascii="Times New Roman" w:hAnsi="Times New Roman" w:cs="Times New Roman"/>
          <w:sz w:val="24"/>
          <w:szCs w:val="24"/>
        </w:rPr>
      </w:pPr>
      <w:r w:rsidRPr="000B0D1D">
        <w:rPr>
          <w:rFonts w:ascii="Times New Roman" w:hAnsi="Times New Roman" w:cs="Times New Roman"/>
          <w:sz w:val="24"/>
          <w:szCs w:val="24"/>
        </w:rPr>
        <w:t>2708 helyrajzi számú ingatlan: használat joga - jogosult: Magyarországi Magiszter Alapítvány</w:t>
      </w:r>
    </w:p>
    <w:p w:rsidR="00AF12E1" w:rsidRPr="000B0D1D" w:rsidRDefault="00AF12E1" w:rsidP="00AF12E1">
      <w:pPr>
        <w:jc w:val="both"/>
        <w:rPr>
          <w:rFonts w:ascii="Times New Roman" w:hAnsi="Times New Roman" w:cs="Times New Roman"/>
          <w:sz w:val="24"/>
          <w:szCs w:val="24"/>
        </w:rPr>
      </w:pPr>
      <w:r w:rsidRPr="000B0D1D">
        <w:rPr>
          <w:rFonts w:ascii="Times New Roman" w:hAnsi="Times New Roman" w:cs="Times New Roman"/>
          <w:b/>
          <w:bCs/>
          <w:sz w:val="24"/>
          <w:szCs w:val="24"/>
        </w:rPr>
        <w:lastRenderedPageBreak/>
        <w:t xml:space="preserve">II.4. </w:t>
      </w:r>
      <w:r w:rsidRPr="000B0D1D">
        <w:rPr>
          <w:rFonts w:ascii="Times New Roman" w:hAnsi="Times New Roman" w:cs="Times New Roman"/>
          <w:sz w:val="24"/>
          <w:szCs w:val="24"/>
        </w:rPr>
        <w:t>Szerződő Felek kijelentik, hogy az Ingatlanok ingyenes tulajdon átruházásának ingatlan-nyilvántartásba történő bejegyzésével egyidejűleg az Ingatlanokra vonatkozó, korábbi, 2019. május 21. napján keltezett használati szerződés hatálya Szerződő Felek között megszűnik.</w:t>
      </w:r>
    </w:p>
    <w:p w:rsidR="00AF12E1" w:rsidRPr="000B0D1D" w:rsidRDefault="00AF12E1" w:rsidP="00AF12E1">
      <w:pPr>
        <w:pStyle w:val="Default"/>
        <w:jc w:val="both"/>
      </w:pPr>
      <w:r w:rsidRPr="000B0D1D">
        <w:rPr>
          <w:b/>
          <w:bCs/>
        </w:rPr>
        <w:t xml:space="preserve">II.5. </w:t>
      </w:r>
      <w:r w:rsidRPr="000B0D1D">
        <w:t>A Tulajdonba vevő az Ingatlanokat megtekintette, azok állapotát megismerte és azokat az általa megtekintett állapotban szerzi meg. A Tulajdonba vevő tudomásul veszi, hogy az Ingatlanok tulajdonba vételével, a birtokátruházással, valamint a tulajdonjog átruházás ingatlan-nyilvántartási bejegyzésével kapcsolatos költségek a Tulajdonba vevőt terhelik.</w:t>
      </w:r>
    </w:p>
    <w:p w:rsidR="00AF12E1" w:rsidRPr="000B0D1D" w:rsidRDefault="00AF12E1" w:rsidP="00AF12E1">
      <w:pPr>
        <w:pStyle w:val="Default"/>
      </w:pPr>
    </w:p>
    <w:p w:rsidR="00AF12E1" w:rsidRPr="000B0D1D" w:rsidRDefault="00AF12E1" w:rsidP="00AF12E1">
      <w:pPr>
        <w:jc w:val="both"/>
        <w:rPr>
          <w:rFonts w:ascii="Times New Roman" w:hAnsi="Times New Roman" w:cs="Times New Roman"/>
          <w:sz w:val="24"/>
          <w:szCs w:val="24"/>
        </w:rPr>
      </w:pPr>
      <w:r w:rsidRPr="000B0D1D">
        <w:rPr>
          <w:rFonts w:ascii="Times New Roman" w:hAnsi="Times New Roman" w:cs="Times New Roman"/>
          <w:b/>
          <w:bCs/>
          <w:sz w:val="24"/>
          <w:szCs w:val="24"/>
        </w:rPr>
        <w:t xml:space="preserve">II.6. </w:t>
      </w:r>
      <w:r w:rsidRPr="000B0D1D">
        <w:rPr>
          <w:rFonts w:ascii="Times New Roman" w:hAnsi="Times New Roman" w:cs="Times New Roman"/>
          <w:sz w:val="24"/>
          <w:szCs w:val="24"/>
        </w:rPr>
        <w:t xml:space="preserve">Szerződő Felek rögzítik, hogy az Ingatlanok a Tulajdonba vevő birtokában vannak, így Felek a birtokátruházás időpontjának jelen megállapodás létrejöttét tekintik. Tulajdonba vevő a birtokátruházás </w:t>
      </w:r>
      <w:proofErr w:type="gramStart"/>
      <w:r w:rsidRPr="000B0D1D">
        <w:rPr>
          <w:rFonts w:ascii="Times New Roman" w:hAnsi="Times New Roman" w:cs="Times New Roman"/>
          <w:sz w:val="24"/>
          <w:szCs w:val="24"/>
        </w:rPr>
        <w:t>időpontjától szerinti</w:t>
      </w:r>
      <w:proofErr w:type="gramEnd"/>
      <w:r w:rsidRPr="000B0D1D">
        <w:rPr>
          <w:rFonts w:ascii="Times New Roman" w:hAnsi="Times New Roman" w:cs="Times New Roman"/>
          <w:sz w:val="24"/>
          <w:szCs w:val="24"/>
        </w:rPr>
        <w:t xml:space="preserve"> birtokátruházást követően szedi az Ingatlanok hasznait, valamint viseli annak terheit és a bekövetkező károkat.</w:t>
      </w:r>
    </w:p>
    <w:p w:rsidR="00AF12E1" w:rsidRPr="000B0D1D" w:rsidRDefault="00AF12E1" w:rsidP="00AF12E1">
      <w:pPr>
        <w:jc w:val="center"/>
        <w:rPr>
          <w:rFonts w:ascii="Times New Roman" w:hAnsi="Times New Roman" w:cs="Times New Roman"/>
          <w:b/>
          <w:bCs/>
          <w:sz w:val="24"/>
          <w:szCs w:val="24"/>
        </w:rPr>
      </w:pPr>
      <w:r w:rsidRPr="000B0D1D">
        <w:rPr>
          <w:rFonts w:ascii="Times New Roman" w:hAnsi="Times New Roman" w:cs="Times New Roman"/>
          <w:b/>
          <w:bCs/>
          <w:sz w:val="24"/>
          <w:szCs w:val="24"/>
        </w:rPr>
        <w:t>III. Szerződő felek további nyilatkozatai</w:t>
      </w:r>
    </w:p>
    <w:p w:rsidR="00AF12E1" w:rsidRPr="000B0D1D" w:rsidRDefault="00AF12E1" w:rsidP="00AF12E1">
      <w:pPr>
        <w:jc w:val="both"/>
        <w:rPr>
          <w:rFonts w:ascii="Times New Roman" w:hAnsi="Times New Roman" w:cs="Times New Roman"/>
          <w:sz w:val="24"/>
          <w:szCs w:val="24"/>
        </w:rPr>
      </w:pPr>
      <w:r w:rsidRPr="000B0D1D">
        <w:rPr>
          <w:rFonts w:ascii="Times New Roman" w:hAnsi="Times New Roman" w:cs="Times New Roman"/>
          <w:b/>
          <w:bCs/>
          <w:sz w:val="24"/>
          <w:szCs w:val="24"/>
        </w:rPr>
        <w:t xml:space="preserve">III.1. </w:t>
      </w:r>
      <w:proofErr w:type="gramStart"/>
      <w:r w:rsidRPr="000B0D1D">
        <w:rPr>
          <w:rFonts w:ascii="Times New Roman" w:hAnsi="Times New Roman" w:cs="Times New Roman"/>
          <w:sz w:val="24"/>
          <w:szCs w:val="24"/>
        </w:rPr>
        <w:t xml:space="preserve">Az Önkormányzat a jelen megállapodás aláírásával </w:t>
      </w:r>
      <w:r w:rsidRPr="000B0D1D">
        <w:rPr>
          <w:rFonts w:ascii="Times New Roman" w:hAnsi="Times New Roman" w:cs="Times New Roman"/>
          <w:b/>
          <w:bCs/>
          <w:sz w:val="24"/>
          <w:szCs w:val="24"/>
        </w:rPr>
        <w:t xml:space="preserve">feltétlen és visszavonhatatlan hozzájárulását adja </w:t>
      </w:r>
      <w:r w:rsidRPr="000B0D1D">
        <w:rPr>
          <w:rFonts w:ascii="Times New Roman" w:hAnsi="Times New Roman" w:cs="Times New Roman"/>
          <w:sz w:val="24"/>
          <w:szCs w:val="24"/>
        </w:rPr>
        <w:t xml:space="preserve">ahhoz, egyúttal a Szerződő Felek </w:t>
      </w:r>
      <w:r w:rsidRPr="000B0D1D">
        <w:rPr>
          <w:rFonts w:ascii="Times New Roman" w:hAnsi="Times New Roman" w:cs="Times New Roman"/>
          <w:b/>
          <w:bCs/>
          <w:sz w:val="24"/>
          <w:szCs w:val="24"/>
        </w:rPr>
        <w:t xml:space="preserve">feltétlenül és visszavonhatatlanul kérik </w:t>
      </w:r>
      <w:r w:rsidRPr="000B0D1D">
        <w:rPr>
          <w:rFonts w:ascii="Times New Roman" w:hAnsi="Times New Roman" w:cs="Times New Roman"/>
          <w:sz w:val="24"/>
          <w:szCs w:val="24"/>
        </w:rPr>
        <w:t xml:space="preserve">az illetékes ingatlan-nyilvántartást vezető hatóságtól, hogy az Ingatlanok1/1 arányú kizárólagos tulajdoni hányadára vonatkozóan az Önkormányzat tulajdonjoga az ingatlan-nyilvántartásból törlésre, az </w:t>
      </w:r>
      <w:r w:rsidRPr="000B0D1D">
        <w:rPr>
          <w:rFonts w:ascii="Times New Roman" w:hAnsi="Times New Roman" w:cs="Times New Roman"/>
          <w:b/>
          <w:bCs/>
          <w:sz w:val="24"/>
          <w:szCs w:val="24"/>
        </w:rPr>
        <w:t>Esélytér Intézményfenntartó belső egyházi jogi személy 1/</w:t>
      </w:r>
      <w:proofErr w:type="spellStart"/>
      <w:r w:rsidRPr="000B0D1D">
        <w:rPr>
          <w:rFonts w:ascii="Times New Roman" w:hAnsi="Times New Roman" w:cs="Times New Roman"/>
          <w:b/>
          <w:bCs/>
          <w:sz w:val="24"/>
          <w:szCs w:val="24"/>
        </w:rPr>
        <w:t>1</w:t>
      </w:r>
      <w:proofErr w:type="spellEnd"/>
      <w:r w:rsidRPr="000B0D1D">
        <w:rPr>
          <w:rFonts w:ascii="Times New Roman" w:hAnsi="Times New Roman" w:cs="Times New Roman"/>
          <w:b/>
          <w:bCs/>
          <w:sz w:val="24"/>
          <w:szCs w:val="24"/>
        </w:rPr>
        <w:t xml:space="preserve"> arányú</w:t>
      </w:r>
      <w:r w:rsidRPr="000B0D1D">
        <w:rPr>
          <w:rFonts w:ascii="Times New Roman" w:hAnsi="Times New Roman" w:cs="Times New Roman"/>
          <w:sz w:val="24"/>
          <w:szCs w:val="24"/>
        </w:rPr>
        <w:t xml:space="preserve"> </w:t>
      </w:r>
      <w:r w:rsidRPr="000B0D1D">
        <w:rPr>
          <w:rFonts w:ascii="Times New Roman" w:hAnsi="Times New Roman" w:cs="Times New Roman"/>
          <w:b/>
          <w:bCs/>
          <w:sz w:val="24"/>
          <w:szCs w:val="24"/>
        </w:rPr>
        <w:t xml:space="preserve">tulajdonjoga „ingyenes tulajdonba adás” jogcímén az ingatlan-nyilvántartásba bejegyzésre kerüljön, </w:t>
      </w:r>
      <w:r w:rsidRPr="000B0D1D">
        <w:rPr>
          <w:rFonts w:ascii="Times New Roman" w:hAnsi="Times New Roman" w:cs="Times New Roman"/>
          <w:sz w:val="24"/>
          <w:szCs w:val="24"/>
        </w:rPr>
        <w:t>az egyházak hitéleti és közcélú tevékenységének anyagi feltételeiről</w:t>
      </w:r>
      <w:proofErr w:type="gramEnd"/>
      <w:r w:rsidRPr="000B0D1D">
        <w:rPr>
          <w:rFonts w:ascii="Times New Roman" w:hAnsi="Times New Roman" w:cs="Times New Roman"/>
          <w:sz w:val="24"/>
          <w:szCs w:val="24"/>
        </w:rPr>
        <w:t xml:space="preserve"> </w:t>
      </w:r>
      <w:proofErr w:type="gramStart"/>
      <w:r w:rsidRPr="000B0D1D">
        <w:rPr>
          <w:rFonts w:ascii="Times New Roman" w:hAnsi="Times New Roman" w:cs="Times New Roman"/>
          <w:sz w:val="24"/>
          <w:szCs w:val="24"/>
        </w:rPr>
        <w:t>szóló</w:t>
      </w:r>
      <w:proofErr w:type="gramEnd"/>
      <w:r w:rsidRPr="000B0D1D">
        <w:rPr>
          <w:rFonts w:ascii="Times New Roman" w:hAnsi="Times New Roman" w:cs="Times New Roman"/>
          <w:sz w:val="24"/>
          <w:szCs w:val="24"/>
        </w:rPr>
        <w:t xml:space="preserve"> 1997. évi CXXIV. tv. 13. § (3) bekezdés alapján.</w:t>
      </w:r>
    </w:p>
    <w:p w:rsidR="00AF12E1" w:rsidRPr="009F709F" w:rsidRDefault="00AF12E1" w:rsidP="00AF12E1">
      <w:pPr>
        <w:pStyle w:val="Default"/>
        <w:jc w:val="both"/>
      </w:pPr>
      <w:r w:rsidRPr="009F709F">
        <w:rPr>
          <w:b/>
          <w:bCs/>
        </w:rPr>
        <w:t>III. 2.</w:t>
      </w:r>
      <w:r w:rsidRPr="009F709F">
        <w:t xml:space="preserve"> Az Önkormányzat az II.3 pontokban írottakon túlmenően szavatol az Ingatlanok per-, igény-, és tehermentességéért. Kijelenti továbbá, hogy harmadik személynek nem áll fenn olyan joga vagy követelése, amely az Ingatlanok vonatkozásában a Tulajdonba vevő tulajdonjogának megszerzését, az Ingatlanok használatát, vagy hasznosítását kizárná, akadályozná, vagy korlátozná. Az Önkormányzat kijelenti továbbá, hogy harmadik személynek az Ingatlanokon nem áll fenn olyan joga, mely az Esélytér Intézményfenntartót, vagy birtoklását korlátozná, akadályozná, vagy meghiúsítaná. Az Önkormányzat kötelezettséget vállal arra, hogy a Tulajdonba vevő tulajdonjogának ingatlan-nyilvántartási bejegyzéséig az Ingatlanokkal összefüggésben semmiféle változást nem </w:t>
      </w:r>
      <w:proofErr w:type="gramStart"/>
      <w:r w:rsidRPr="009F709F">
        <w:t>eszközöl</w:t>
      </w:r>
      <w:proofErr w:type="gramEnd"/>
      <w:r w:rsidRPr="009F709F">
        <w:t>, az Ingatlanokat nem terheli meg, tulajdonjogát harmadik személy javára nem ruházza át, az Ingatlanokon vagyoni értékű jogot nem alapít, az Ingatlanokat biztosítékul nem ajánlja fel.</w:t>
      </w:r>
    </w:p>
    <w:p w:rsidR="00AF12E1" w:rsidRPr="009F709F" w:rsidRDefault="00AF12E1" w:rsidP="00AF12E1">
      <w:pPr>
        <w:pStyle w:val="Default"/>
        <w:tabs>
          <w:tab w:val="left" w:pos="7245"/>
        </w:tabs>
        <w:jc w:val="both"/>
      </w:pPr>
      <w:r w:rsidRPr="009F709F">
        <w:tab/>
      </w:r>
    </w:p>
    <w:p w:rsidR="00AF12E1" w:rsidRDefault="00AF12E1" w:rsidP="00AF12E1">
      <w:pPr>
        <w:pStyle w:val="Default"/>
        <w:jc w:val="both"/>
        <w:rPr>
          <w:b/>
          <w:bCs/>
        </w:rPr>
      </w:pPr>
      <w:r w:rsidRPr="009F709F">
        <w:rPr>
          <w:b/>
          <w:bCs/>
        </w:rPr>
        <w:t xml:space="preserve">III.3. </w:t>
      </w:r>
      <w:r w:rsidRPr="009F709F">
        <w:t xml:space="preserve">Tulajdonba vevő tudomásul veszi, miszerint az </w:t>
      </w:r>
      <w:proofErr w:type="spellStart"/>
      <w:r w:rsidRPr="009F709F">
        <w:t>Nvtv</w:t>
      </w:r>
      <w:proofErr w:type="spellEnd"/>
      <w:r w:rsidRPr="009F709F">
        <w:t xml:space="preserve">. 13. § (5) bekezdése alapján a tulajdonjog megszerzésétől (az illetékes Földhivatal bejegyzési kérelmének érkeztetésétől a széljegyzésre kerülés időpontjától) kezdődően, hivatkozott törvény erejénél fogva </w:t>
      </w:r>
      <w:r w:rsidRPr="009F709F">
        <w:rPr>
          <w:b/>
          <w:bCs/>
          <w:color w:val="auto"/>
          <w:shd w:val="clear" w:color="auto" w:fill="FFFFFF"/>
        </w:rPr>
        <w:t>15 évig elidegenítési tilalom áll fenn</w:t>
      </w:r>
      <w:r w:rsidRPr="009F709F">
        <w:rPr>
          <w:color w:val="auto"/>
          <w:shd w:val="clear" w:color="auto" w:fill="FFFFFF"/>
        </w:rPr>
        <w:t>. Az elidegenítési tilalomnak az átruházó javára szóló ingatlan-nyilvántartásba történő feljegyzését a tulajdonjog bejegyzése iránti kérelem benyújtásával egyidejűleg a vagyont átruházó szerv kérelmezi</w:t>
      </w:r>
      <w:r w:rsidRPr="009F709F">
        <w:t xml:space="preserve">. Az </w:t>
      </w:r>
      <w:proofErr w:type="spellStart"/>
      <w:r w:rsidRPr="009F709F">
        <w:t>Nvtv</w:t>
      </w:r>
      <w:proofErr w:type="spellEnd"/>
      <w:r w:rsidRPr="009F709F">
        <w:t xml:space="preserve">. 13.§ (10) bekezdése alapján az elidegenítési tilalom nem terjed ki az </w:t>
      </w:r>
      <w:r w:rsidRPr="009F709F">
        <w:rPr>
          <w:b/>
          <w:bCs/>
        </w:rPr>
        <w:t xml:space="preserve">Önkormányzat tulajdonszerzésére. Szerződő felek feltétlen és visszavonhatatlan hozzájárulásukat adják ahhoz, hogy az </w:t>
      </w:r>
      <w:proofErr w:type="spellStart"/>
      <w:r w:rsidRPr="009F709F">
        <w:rPr>
          <w:b/>
          <w:bCs/>
        </w:rPr>
        <w:t>ingatlannyilvántartásba</w:t>
      </w:r>
      <w:proofErr w:type="spellEnd"/>
      <w:r w:rsidRPr="009F709F">
        <w:rPr>
          <w:b/>
          <w:bCs/>
        </w:rPr>
        <w:t xml:space="preserve"> az Ingatlanok vonatkozásában, a tulajdonszerzéssel egyidejűleg az elidegenítési tilalom feljegyzésre kerüljön. </w:t>
      </w:r>
    </w:p>
    <w:p w:rsidR="00AF12E1" w:rsidRDefault="00AF12E1" w:rsidP="00AF12E1">
      <w:pPr>
        <w:pStyle w:val="Default"/>
        <w:jc w:val="both"/>
        <w:rPr>
          <w:b/>
          <w:bCs/>
        </w:rPr>
      </w:pPr>
    </w:p>
    <w:p w:rsidR="00AF12E1" w:rsidRPr="000B0D1D" w:rsidRDefault="00AF12E1" w:rsidP="00AF12E1">
      <w:pPr>
        <w:jc w:val="both"/>
        <w:rPr>
          <w:rFonts w:ascii="Times New Roman" w:hAnsi="Times New Roman" w:cs="Times New Roman"/>
          <w:sz w:val="24"/>
          <w:szCs w:val="24"/>
        </w:rPr>
      </w:pPr>
      <w:r w:rsidRPr="000B0D1D">
        <w:rPr>
          <w:rFonts w:ascii="Times New Roman" w:hAnsi="Times New Roman" w:cs="Times New Roman"/>
          <w:b/>
          <w:bCs/>
          <w:sz w:val="24"/>
          <w:szCs w:val="24"/>
        </w:rPr>
        <w:lastRenderedPageBreak/>
        <w:t>III.4.</w:t>
      </w:r>
      <w:r w:rsidRPr="000B0D1D">
        <w:rPr>
          <w:rFonts w:ascii="Times New Roman" w:hAnsi="Times New Roman" w:cs="Times New Roman"/>
          <w:sz w:val="24"/>
          <w:szCs w:val="24"/>
        </w:rPr>
        <w:t xml:space="preserve"> Tulajdonba vevő kötelezettséget vállal arra, miszerint az </w:t>
      </w:r>
      <w:proofErr w:type="spellStart"/>
      <w:r w:rsidRPr="000B0D1D">
        <w:rPr>
          <w:rFonts w:ascii="Times New Roman" w:hAnsi="Times New Roman" w:cs="Times New Roman"/>
          <w:sz w:val="24"/>
          <w:szCs w:val="24"/>
        </w:rPr>
        <w:t>Nvtv</w:t>
      </w:r>
      <w:proofErr w:type="spellEnd"/>
      <w:r w:rsidRPr="000B0D1D">
        <w:rPr>
          <w:rFonts w:ascii="Times New Roman" w:hAnsi="Times New Roman" w:cs="Times New Roman"/>
          <w:sz w:val="24"/>
          <w:szCs w:val="24"/>
        </w:rPr>
        <w:t xml:space="preserve">. 13. § (4) bekezdésében foglalt törvényi kötelezettségeinek eleget tesz és az Ingatlanokat továbbra is az ingyenes </w:t>
      </w:r>
      <w:proofErr w:type="spellStart"/>
      <w:r w:rsidRPr="000B0D1D">
        <w:rPr>
          <w:rFonts w:ascii="Times New Roman" w:hAnsi="Times New Roman" w:cs="Times New Roman"/>
          <w:sz w:val="24"/>
          <w:szCs w:val="24"/>
        </w:rPr>
        <w:t>tulajdonátruházás</w:t>
      </w:r>
      <w:proofErr w:type="spellEnd"/>
      <w:r w:rsidRPr="000B0D1D">
        <w:rPr>
          <w:rFonts w:ascii="Times New Roman" w:hAnsi="Times New Roman" w:cs="Times New Roman"/>
          <w:sz w:val="24"/>
          <w:szCs w:val="24"/>
        </w:rPr>
        <w:t xml:space="preserve"> célja szerint hasznosítja. Tulajdonba vevő tudomással bír arról, hogy Tulajdonba adó a cél szerinti használatot ellenőrizheti.</w:t>
      </w:r>
    </w:p>
    <w:p w:rsidR="00AF12E1" w:rsidRDefault="00AF12E1" w:rsidP="00AF12E1">
      <w:pPr>
        <w:pStyle w:val="Default"/>
        <w:jc w:val="both"/>
        <w:rPr>
          <w:b/>
          <w:bCs/>
        </w:rPr>
      </w:pPr>
      <w:bookmarkStart w:id="0" w:name="_GoBack"/>
      <w:bookmarkEnd w:id="0"/>
      <w:r w:rsidRPr="009F709F">
        <w:rPr>
          <w:b/>
          <w:bCs/>
        </w:rPr>
        <w:t>III.</w:t>
      </w:r>
      <w:r>
        <w:rPr>
          <w:b/>
          <w:bCs/>
        </w:rPr>
        <w:t>5</w:t>
      </w:r>
      <w:r w:rsidRPr="009F709F">
        <w:rPr>
          <w:b/>
          <w:bCs/>
        </w:rPr>
        <w:t>.</w:t>
      </w:r>
      <w:r w:rsidRPr="009F709F">
        <w:t xml:space="preserve"> Szerződő Felek rögzítik, hogy az illetékekről szóló 1990. évi XCIII. törvény 5. § (1) bekezdése</w:t>
      </w:r>
      <w:r>
        <w:t xml:space="preserve"> </w:t>
      </w:r>
      <w:r w:rsidRPr="009F709F">
        <w:t xml:space="preserve">alapján az Ingatlanok tulajdonjogának átruházásával kapcsolatosan </w:t>
      </w:r>
      <w:r w:rsidRPr="009F709F">
        <w:rPr>
          <w:b/>
          <w:bCs/>
        </w:rPr>
        <w:t>illetékmentességet</w:t>
      </w:r>
      <w:r w:rsidRPr="009F709F">
        <w:t xml:space="preserve"> élveznek. </w:t>
      </w:r>
      <w:r w:rsidRPr="009F709F">
        <w:rPr>
          <w:b/>
          <w:bCs/>
        </w:rPr>
        <w:t>Esélytér Intézményfenntartó, az illetékekről szóló 1990. évi XCIII. törvény 5. § (1) bekezdésének e) pontja szerint személyes illetékmentességben részesül, ezzel egyidejűleg nyilatkozik, miszerint a 2022. adóévben folytatott vállalkozási tevékenységéből származó jövedelme után társasági adófizetési kötelezettsége, eredménye után központi költségvetésbe befizetési kötelezettsége nem keletkezett.</w:t>
      </w:r>
    </w:p>
    <w:p w:rsidR="00AF12E1" w:rsidRDefault="00AF12E1" w:rsidP="00AF12E1">
      <w:pPr>
        <w:pStyle w:val="Default"/>
        <w:jc w:val="both"/>
        <w:rPr>
          <w:b/>
          <w:bCs/>
        </w:rPr>
      </w:pPr>
    </w:p>
    <w:p w:rsidR="00AF12E1" w:rsidRPr="00F46406" w:rsidRDefault="00AF12E1" w:rsidP="00AF12E1">
      <w:pPr>
        <w:pStyle w:val="Default"/>
        <w:jc w:val="both"/>
      </w:pPr>
      <w:r>
        <w:rPr>
          <w:b/>
          <w:bCs/>
        </w:rPr>
        <w:t xml:space="preserve">III.6. </w:t>
      </w:r>
      <w:r w:rsidRPr="00440820">
        <w:t>Szerződő Felek törvényes képviselői kijelentik, miszerint jelen megállapodás aláírásához rendelkeznek a szükséges felhatalmazással.</w:t>
      </w:r>
    </w:p>
    <w:p w:rsidR="00AF12E1" w:rsidRPr="009F709F" w:rsidRDefault="00AF12E1" w:rsidP="00AF12E1">
      <w:pPr>
        <w:pStyle w:val="Default"/>
        <w:jc w:val="both"/>
        <w:rPr>
          <w:b/>
          <w:bCs/>
        </w:rPr>
      </w:pPr>
    </w:p>
    <w:p w:rsidR="00AF12E1" w:rsidRPr="009F709F" w:rsidRDefault="00AF12E1" w:rsidP="00AF12E1">
      <w:pPr>
        <w:pStyle w:val="Default"/>
        <w:jc w:val="both"/>
        <w:rPr>
          <w:b/>
          <w:bCs/>
        </w:rPr>
      </w:pPr>
    </w:p>
    <w:p w:rsidR="00AF12E1" w:rsidRPr="009F709F" w:rsidRDefault="00AF12E1" w:rsidP="00AF12E1">
      <w:pPr>
        <w:pStyle w:val="Default"/>
        <w:jc w:val="center"/>
        <w:rPr>
          <w:b/>
          <w:bCs/>
          <w:color w:val="auto"/>
        </w:rPr>
      </w:pPr>
      <w:r w:rsidRPr="009F709F">
        <w:rPr>
          <w:b/>
          <w:bCs/>
          <w:color w:val="auto"/>
        </w:rPr>
        <w:t>IV. Egyéb rendelkezések</w:t>
      </w:r>
    </w:p>
    <w:p w:rsidR="00AF12E1" w:rsidRPr="009F709F" w:rsidRDefault="00AF12E1" w:rsidP="00AF12E1">
      <w:pPr>
        <w:pStyle w:val="Default"/>
        <w:jc w:val="center"/>
        <w:rPr>
          <w:b/>
          <w:bCs/>
          <w:color w:val="auto"/>
        </w:rPr>
      </w:pPr>
    </w:p>
    <w:p w:rsidR="00AF12E1" w:rsidRPr="00F46406" w:rsidRDefault="00AF12E1" w:rsidP="00AF12E1">
      <w:pPr>
        <w:pStyle w:val="Default"/>
        <w:jc w:val="both"/>
      </w:pPr>
      <w:r w:rsidRPr="009F709F">
        <w:rPr>
          <w:b/>
          <w:bCs/>
        </w:rPr>
        <w:t xml:space="preserve">IV.1.  </w:t>
      </w:r>
      <w:proofErr w:type="gramStart"/>
      <w:r w:rsidRPr="00F46406">
        <w:t>Szerződő Felek jelen megállapodás aláírásával meghatalmazzák ……</w:t>
      </w:r>
      <w:r>
        <w:t>…………………….……..……</w:t>
      </w:r>
      <w:r w:rsidRPr="00F46406">
        <w:t>……..</w:t>
      </w:r>
      <w:r>
        <w:t xml:space="preserve"> kamarai jogtanácsost/ ügyvédet </w:t>
      </w:r>
      <w:r w:rsidRPr="00F46406">
        <w:t xml:space="preserve">(székhelye: </w:t>
      </w:r>
      <w:r>
        <w:t>……………..……</w:t>
      </w:r>
      <w:r w:rsidRPr="00F46406">
        <w:t>……</w:t>
      </w:r>
      <w:r>
        <w:t>……….</w:t>
      </w:r>
      <w:r w:rsidRPr="00F46406">
        <w:t>…………., nyilvántartó</w:t>
      </w:r>
      <w:r>
        <w:t xml:space="preserve"> </w:t>
      </w:r>
      <w:r w:rsidRPr="00F46406">
        <w:t>kamara: ………………</w:t>
      </w:r>
      <w:r>
        <w:t>…….</w:t>
      </w:r>
      <w:r w:rsidRPr="00F46406">
        <w:t>…………</w:t>
      </w:r>
      <w:r>
        <w:t xml:space="preserve"> </w:t>
      </w:r>
      <w:r w:rsidRPr="00F46406">
        <w:t>Kamara, kamarai nyilvántartási száma: …………</w:t>
      </w:r>
      <w:r>
        <w:t>…….</w:t>
      </w:r>
      <w:r w:rsidRPr="00F46406">
        <w:t>..), hogy a tulajdonjog-átruházás ingatlan-nyilvántartási átvezetésével illetve bejegyzésével kapcsolatosan az illetékes ingatlanügyi hatóság előtt Szerződő Felek képviseletében eljárjon.</w:t>
      </w:r>
      <w:proofErr w:type="gramEnd"/>
    </w:p>
    <w:p w:rsidR="00AF12E1" w:rsidRPr="00F46406" w:rsidRDefault="00AF12E1" w:rsidP="00AF12E1">
      <w:pPr>
        <w:pStyle w:val="Default"/>
        <w:jc w:val="both"/>
      </w:pPr>
    </w:p>
    <w:p w:rsidR="00AF12E1" w:rsidRPr="00F46406" w:rsidRDefault="00AF12E1" w:rsidP="00AF12E1">
      <w:pPr>
        <w:pStyle w:val="Default"/>
        <w:jc w:val="both"/>
      </w:pPr>
      <w:r w:rsidRPr="00F46406">
        <w:rPr>
          <w:b/>
          <w:bCs/>
        </w:rPr>
        <w:t xml:space="preserve">IV.2. </w:t>
      </w:r>
      <w:proofErr w:type="gramStart"/>
      <w:r w:rsidRPr="00F46406">
        <w:t>Szerződő</w:t>
      </w:r>
      <w:r w:rsidRPr="00F46406">
        <w:rPr>
          <w:b/>
          <w:bCs/>
        </w:rPr>
        <w:t xml:space="preserve"> </w:t>
      </w:r>
      <w:r w:rsidRPr="00F46406">
        <w:t>Felek rögzítik, hogy a jelen megállapodás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F46406">
        <w:rPr>
          <w:i/>
          <w:iCs/>
        </w:rPr>
        <w:t>Info</w:t>
      </w:r>
      <w:proofErr w:type="spellEnd"/>
      <w:r w:rsidRPr="00F46406">
        <w:rPr>
          <w:i/>
          <w:iCs/>
        </w:rPr>
        <w:t xml:space="preserve"> tv.”),</w:t>
      </w:r>
      <w:r w:rsidRPr="00F46406">
        <w:t xml:space="preserve">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r w:rsidRPr="00F46406">
        <w:t xml:space="preserve"> </w:t>
      </w:r>
    </w:p>
    <w:p w:rsidR="00AF12E1" w:rsidRPr="00F46406" w:rsidRDefault="00AF12E1" w:rsidP="00AF12E1">
      <w:pPr>
        <w:pStyle w:val="Default"/>
        <w:jc w:val="both"/>
      </w:pPr>
    </w:p>
    <w:p w:rsidR="00AF12E1" w:rsidRPr="00F46406" w:rsidRDefault="00AF12E1" w:rsidP="00AF12E1">
      <w:pPr>
        <w:pStyle w:val="Default"/>
        <w:jc w:val="both"/>
      </w:pPr>
      <w:r w:rsidRPr="00F46406">
        <w:rPr>
          <w:b/>
          <w:bCs/>
        </w:rPr>
        <w:t xml:space="preserve">IV.3. </w:t>
      </w:r>
      <w:r w:rsidRPr="00F46406">
        <w:t xml:space="preserve">Szerződő Felek rögzítik továbbá, hogy a jelen szerződéses együttműködés során személyes adatokat csak és kizárólag a jelen megállapodás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F46406">
        <w:t>Infotv</w:t>
      </w:r>
      <w:proofErr w:type="spellEnd"/>
      <w:r w:rsidRPr="00F46406">
        <w:t>. keretei között teszik hozzáférhetővé. Felek egybehangzóan vállalják, hogy megtesznek minden olyan szükséges lépést, ideértve a megfelelő hozzájáruló nyilatkozatok beszerzését is, amely a személyes adatok</w:t>
      </w:r>
      <w:r>
        <w:t xml:space="preserve"> </w:t>
      </w:r>
      <w:r w:rsidRPr="00F46406">
        <w:t>jogszerű kezelése érdekében szükséges lehet.</w:t>
      </w:r>
    </w:p>
    <w:p w:rsidR="00AF12E1" w:rsidRPr="00F46406" w:rsidRDefault="00AF12E1" w:rsidP="00AF12E1">
      <w:pPr>
        <w:pStyle w:val="Default"/>
      </w:pPr>
    </w:p>
    <w:p w:rsidR="00AF12E1" w:rsidRPr="00F46406" w:rsidRDefault="00AF12E1" w:rsidP="00AF12E1">
      <w:pPr>
        <w:pStyle w:val="Default"/>
        <w:jc w:val="both"/>
      </w:pPr>
      <w:r w:rsidRPr="00F46406">
        <w:rPr>
          <w:b/>
          <w:bCs/>
        </w:rPr>
        <w:t xml:space="preserve">IV.4. </w:t>
      </w:r>
      <w:r w:rsidRPr="00F46406">
        <w:t>Szerződő</w:t>
      </w:r>
      <w:r w:rsidRPr="00F46406">
        <w:rPr>
          <w:b/>
          <w:bCs/>
        </w:rPr>
        <w:t xml:space="preserve"> </w:t>
      </w:r>
      <w:r w:rsidRPr="00F46406">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megállapodás</w:t>
      </w:r>
      <w:r>
        <w:t xml:space="preserve"> </w:t>
      </w:r>
      <w:r w:rsidRPr="00F46406">
        <w:t>teljesítéséhez a másik Félnek szükséges.</w:t>
      </w:r>
    </w:p>
    <w:p w:rsidR="00AF12E1" w:rsidRPr="00F46406" w:rsidRDefault="00AF12E1" w:rsidP="00AF12E1">
      <w:pPr>
        <w:pStyle w:val="Default"/>
      </w:pPr>
    </w:p>
    <w:p w:rsidR="00AF12E1" w:rsidRDefault="00AF12E1" w:rsidP="00AF12E1">
      <w:pPr>
        <w:pStyle w:val="Default"/>
        <w:jc w:val="both"/>
      </w:pPr>
      <w:r w:rsidRPr="00F46406">
        <w:rPr>
          <w:b/>
          <w:bCs/>
        </w:rPr>
        <w:lastRenderedPageBreak/>
        <w:t xml:space="preserve">IV.5. </w:t>
      </w:r>
      <w:r w:rsidRPr="00F46406">
        <w:t>Szerződő Felek megállapodnak abban, hogy a jelen megállapodással kapcsolatos esetleges vitáikat elsősorban tárgyalás útján igyekeznek rendezni. Ennek eredménytelensége esetén az általános szabályok szerint illetékes és hatáskörrel rendelkező rendes bírósághoz fordulnak jogorvoslatért.</w:t>
      </w:r>
    </w:p>
    <w:p w:rsidR="00AF12E1" w:rsidRDefault="00AF12E1" w:rsidP="00AF12E1">
      <w:pPr>
        <w:pStyle w:val="Default"/>
        <w:jc w:val="both"/>
      </w:pPr>
    </w:p>
    <w:p w:rsidR="00AF12E1" w:rsidRDefault="00AF12E1" w:rsidP="00AF12E1">
      <w:pPr>
        <w:pStyle w:val="Default"/>
        <w:jc w:val="both"/>
        <w:rPr>
          <w:sz w:val="22"/>
          <w:szCs w:val="22"/>
        </w:rPr>
      </w:pPr>
      <w:r w:rsidRPr="000C796B">
        <w:rPr>
          <w:b/>
          <w:bCs/>
        </w:rPr>
        <w:t>IV.6</w:t>
      </w:r>
      <w:r w:rsidRPr="000C796B">
        <w:t xml:space="preserve">. A jelen megállapodásban nem szabályozott kérdésekben az </w:t>
      </w:r>
      <w:proofErr w:type="spellStart"/>
      <w:r w:rsidRPr="000C796B">
        <w:t>Nvtv</w:t>
      </w:r>
      <w:proofErr w:type="spellEnd"/>
      <w:proofErr w:type="gramStart"/>
      <w:r w:rsidRPr="000C796B">
        <w:t>.,</w:t>
      </w:r>
      <w:proofErr w:type="gramEnd"/>
      <w:r w:rsidRPr="000C796B">
        <w:t xml:space="preserve"> az</w:t>
      </w:r>
      <w:r>
        <w:t xml:space="preserve"> </w:t>
      </w:r>
      <w:proofErr w:type="spellStart"/>
      <w:r>
        <w:t>Eftv</w:t>
      </w:r>
      <w:proofErr w:type="spellEnd"/>
      <w:r>
        <w:t xml:space="preserve">, a </w:t>
      </w:r>
      <w:proofErr w:type="spellStart"/>
      <w:r>
        <w:t>Mötv</w:t>
      </w:r>
      <w:proofErr w:type="spellEnd"/>
      <w:r>
        <w:t xml:space="preserve">., </w:t>
      </w:r>
      <w:r w:rsidRPr="000C796B">
        <w:t>a Polgári Törvénykönyvről szóló 2013. évi V. törvény</w:t>
      </w:r>
      <w:r>
        <w:t xml:space="preserve"> </w:t>
      </w:r>
      <w:r w:rsidRPr="000C796B">
        <w:t>és az egyéb vonatkozó jogszabályok rendelkezései irányadóak</w:t>
      </w:r>
      <w:r>
        <w:rPr>
          <w:sz w:val="22"/>
          <w:szCs w:val="22"/>
        </w:rPr>
        <w:t>.</w:t>
      </w:r>
    </w:p>
    <w:p w:rsidR="00AF12E1" w:rsidRDefault="00AF12E1" w:rsidP="00AF12E1">
      <w:pPr>
        <w:pStyle w:val="Default"/>
        <w:jc w:val="both"/>
        <w:rPr>
          <w:sz w:val="22"/>
          <w:szCs w:val="22"/>
        </w:rPr>
      </w:pPr>
    </w:p>
    <w:p w:rsidR="00AF12E1" w:rsidRDefault="00AF12E1" w:rsidP="00AF12E1">
      <w:pPr>
        <w:pStyle w:val="Default"/>
        <w:jc w:val="both"/>
        <w:rPr>
          <w:sz w:val="22"/>
          <w:szCs w:val="22"/>
        </w:rPr>
      </w:pPr>
      <w:r w:rsidRPr="000C796B">
        <w:rPr>
          <w:b/>
          <w:bCs/>
        </w:rPr>
        <w:t>IV.</w:t>
      </w:r>
      <w:r>
        <w:rPr>
          <w:b/>
          <w:bCs/>
        </w:rPr>
        <w:t>7</w:t>
      </w:r>
      <w:r w:rsidRPr="000C796B">
        <w:rPr>
          <w:b/>
          <w:bCs/>
        </w:rPr>
        <w:t>.</w:t>
      </w:r>
      <w:r>
        <w:rPr>
          <w:b/>
          <w:bCs/>
        </w:rPr>
        <w:t xml:space="preserve"> </w:t>
      </w:r>
      <w:r w:rsidRPr="000C796B">
        <w:t>Jelen megállapodást Szerződő Felek annak áttanulmányozása és értelmezése után, mint akaratukkal mindenben megegyezőt írták alá. Kijelentik továbbá, hogy jelen megállapodás annak aláírása napján jön létre. Ha az aláírások nem ugyanazon napon történnek, a létrejövetel időpontja a későbbi aláírás napja</w:t>
      </w:r>
      <w:r>
        <w:rPr>
          <w:sz w:val="22"/>
          <w:szCs w:val="22"/>
        </w:rPr>
        <w:t>.</w:t>
      </w:r>
    </w:p>
    <w:p w:rsidR="00AF12E1" w:rsidRDefault="00AF12E1" w:rsidP="00AF12E1">
      <w:pPr>
        <w:pStyle w:val="Default"/>
        <w:jc w:val="both"/>
        <w:rPr>
          <w:sz w:val="22"/>
          <w:szCs w:val="22"/>
        </w:rPr>
      </w:pPr>
    </w:p>
    <w:p w:rsidR="00AF12E1" w:rsidRDefault="00AF12E1" w:rsidP="00AF12E1">
      <w:pPr>
        <w:pStyle w:val="Default"/>
        <w:jc w:val="both"/>
        <w:rPr>
          <w:sz w:val="22"/>
          <w:szCs w:val="22"/>
        </w:rPr>
      </w:pPr>
      <w:r w:rsidRPr="008A01E3">
        <w:rPr>
          <w:b/>
          <w:bCs/>
          <w:sz w:val="22"/>
          <w:szCs w:val="22"/>
        </w:rPr>
        <w:t>IV.8.</w:t>
      </w:r>
      <w:r>
        <w:rPr>
          <w:sz w:val="22"/>
          <w:szCs w:val="22"/>
        </w:rPr>
        <w:t xml:space="preserve"> Jelen megállapodás 5 (öt) példányban készült és 5 (öt) számozott oldalból, valamint 1 (egy) elválaszthatatlan mellékletből áll, amelyből 2 (kettő) példány az Önkormányzatot, 3 (három) példány a Tulajdonba vevőt illeti meg</w:t>
      </w:r>
    </w:p>
    <w:p w:rsidR="00AF12E1" w:rsidRDefault="00AF12E1" w:rsidP="00AF12E1">
      <w:pPr>
        <w:pStyle w:val="Default"/>
        <w:rPr>
          <w:b/>
          <w:bCs/>
          <w:sz w:val="22"/>
          <w:szCs w:val="22"/>
        </w:rPr>
      </w:pPr>
    </w:p>
    <w:p w:rsidR="00AF12E1" w:rsidRDefault="00AF12E1" w:rsidP="00AF12E1">
      <w:pPr>
        <w:pStyle w:val="Default"/>
        <w:rPr>
          <w:b/>
          <w:bCs/>
          <w:sz w:val="22"/>
          <w:szCs w:val="22"/>
        </w:rPr>
      </w:pPr>
      <w:r>
        <w:rPr>
          <w:b/>
          <w:bCs/>
          <w:sz w:val="22"/>
          <w:szCs w:val="22"/>
        </w:rPr>
        <w:t xml:space="preserve"> Nyíregyháza, 2023. augusztus 31.</w:t>
      </w:r>
    </w:p>
    <w:p w:rsidR="00AF12E1" w:rsidRDefault="00AF12E1" w:rsidP="00AF12E1">
      <w:pPr>
        <w:pStyle w:val="Default"/>
        <w:rPr>
          <w:b/>
          <w:bCs/>
          <w:sz w:val="22"/>
          <w:szCs w:val="22"/>
        </w:rPr>
      </w:pPr>
    </w:p>
    <w:p w:rsidR="00AF12E1" w:rsidRDefault="00AF12E1" w:rsidP="00AF12E1">
      <w:pPr>
        <w:pStyle w:val="Default"/>
        <w:rPr>
          <w:b/>
          <w:bCs/>
          <w:sz w:val="22"/>
          <w:szCs w:val="22"/>
        </w:rPr>
      </w:pPr>
    </w:p>
    <w:p w:rsidR="00AF12E1" w:rsidRDefault="00AF12E1" w:rsidP="00AF12E1">
      <w:pPr>
        <w:pStyle w:val="Default"/>
        <w:rPr>
          <w:i/>
          <w:iCs/>
          <w:sz w:val="22"/>
          <w:szCs w:val="22"/>
        </w:rPr>
      </w:pPr>
      <w:r>
        <w:rPr>
          <w:i/>
          <w:iCs/>
          <w:sz w:val="22"/>
          <w:szCs w:val="22"/>
        </w:rPr>
        <w:t>Mellékletek:</w:t>
      </w:r>
    </w:p>
    <w:p w:rsidR="00AF12E1" w:rsidRDefault="00AF12E1" w:rsidP="00AF12E1">
      <w:pPr>
        <w:pStyle w:val="Default"/>
        <w:rPr>
          <w:sz w:val="22"/>
          <w:szCs w:val="22"/>
        </w:rPr>
      </w:pPr>
    </w:p>
    <w:p w:rsidR="00AF12E1" w:rsidRDefault="00AF12E1" w:rsidP="00AF12E1">
      <w:pPr>
        <w:pStyle w:val="Default"/>
        <w:numPr>
          <w:ilvl w:val="0"/>
          <w:numId w:val="2"/>
        </w:numPr>
        <w:rPr>
          <w:i/>
          <w:iCs/>
          <w:sz w:val="22"/>
          <w:szCs w:val="22"/>
        </w:rPr>
      </w:pPr>
      <w:r>
        <w:rPr>
          <w:i/>
          <w:iCs/>
          <w:sz w:val="22"/>
          <w:szCs w:val="22"/>
        </w:rPr>
        <w:t xml:space="preserve">számú melléklet Képviselő-testületi határozat </w:t>
      </w:r>
    </w:p>
    <w:p w:rsidR="00AF12E1" w:rsidRDefault="00AF12E1" w:rsidP="00AF12E1">
      <w:pPr>
        <w:pStyle w:val="Default"/>
        <w:rPr>
          <w:sz w:val="22"/>
          <w:szCs w:val="22"/>
        </w:rPr>
      </w:pPr>
    </w:p>
    <w:p w:rsidR="00AF12E1" w:rsidRDefault="00AF12E1" w:rsidP="00AF12E1">
      <w:pPr>
        <w:pStyle w:val="Default"/>
        <w:rPr>
          <w:sz w:val="22"/>
          <w:szCs w:val="22"/>
        </w:rPr>
      </w:pPr>
    </w:p>
    <w:tbl>
      <w:tblPr>
        <w:tblW w:w="0" w:type="auto"/>
        <w:tblLook w:val="04A0" w:firstRow="1" w:lastRow="0" w:firstColumn="1" w:lastColumn="0" w:noHBand="0" w:noVBand="1"/>
      </w:tblPr>
      <w:tblGrid>
        <w:gridCol w:w="2376"/>
        <w:gridCol w:w="2265"/>
        <w:gridCol w:w="2266"/>
        <w:gridCol w:w="2266"/>
      </w:tblGrid>
      <w:tr w:rsidR="00AF12E1" w:rsidTr="006D17A8">
        <w:tc>
          <w:tcPr>
            <w:tcW w:w="2265" w:type="dxa"/>
            <w:shd w:val="clear" w:color="auto" w:fill="auto"/>
          </w:tcPr>
          <w:p w:rsidR="00AF12E1" w:rsidRPr="008E6A4E" w:rsidRDefault="00AF12E1" w:rsidP="006D17A8">
            <w:pPr>
              <w:pStyle w:val="Default"/>
              <w:jc w:val="both"/>
              <w:rPr>
                <w:b/>
                <w:bCs/>
                <w:color w:val="auto"/>
              </w:rPr>
            </w:pPr>
            <w:r w:rsidRPr="008E6A4E">
              <w:rPr>
                <w:b/>
                <w:bCs/>
                <w:color w:val="auto"/>
              </w:rPr>
              <w:t>………………………</w:t>
            </w:r>
          </w:p>
        </w:tc>
        <w:tc>
          <w:tcPr>
            <w:tcW w:w="2265" w:type="dxa"/>
            <w:shd w:val="clear" w:color="auto" w:fill="auto"/>
          </w:tcPr>
          <w:p w:rsidR="00AF12E1" w:rsidRPr="008E6A4E" w:rsidRDefault="00AF12E1" w:rsidP="006D17A8">
            <w:pPr>
              <w:pStyle w:val="Default"/>
              <w:jc w:val="both"/>
              <w:rPr>
                <w:b/>
                <w:bCs/>
                <w:color w:val="auto"/>
              </w:rPr>
            </w:pPr>
          </w:p>
        </w:tc>
        <w:tc>
          <w:tcPr>
            <w:tcW w:w="2266" w:type="dxa"/>
            <w:shd w:val="clear" w:color="auto" w:fill="auto"/>
          </w:tcPr>
          <w:p w:rsidR="00AF12E1" w:rsidRPr="008E6A4E" w:rsidRDefault="00AF12E1" w:rsidP="006D17A8">
            <w:pPr>
              <w:pStyle w:val="Default"/>
              <w:jc w:val="both"/>
              <w:rPr>
                <w:b/>
                <w:bCs/>
                <w:color w:val="auto"/>
              </w:rPr>
            </w:pPr>
          </w:p>
        </w:tc>
        <w:tc>
          <w:tcPr>
            <w:tcW w:w="2266" w:type="dxa"/>
            <w:shd w:val="clear" w:color="auto" w:fill="auto"/>
          </w:tcPr>
          <w:p w:rsidR="00AF12E1" w:rsidRPr="008E6A4E" w:rsidRDefault="00AF12E1" w:rsidP="006D17A8">
            <w:pPr>
              <w:pStyle w:val="Default"/>
              <w:jc w:val="both"/>
              <w:rPr>
                <w:b/>
                <w:bCs/>
                <w:color w:val="auto"/>
              </w:rPr>
            </w:pPr>
            <w:r w:rsidRPr="008E6A4E">
              <w:rPr>
                <w:b/>
                <w:bCs/>
                <w:color w:val="auto"/>
              </w:rPr>
              <w:t>……………………..</w:t>
            </w:r>
          </w:p>
        </w:tc>
      </w:tr>
      <w:tr w:rsidR="00AF12E1" w:rsidTr="006D17A8">
        <w:tc>
          <w:tcPr>
            <w:tcW w:w="2265" w:type="dxa"/>
            <w:shd w:val="clear" w:color="auto" w:fill="auto"/>
          </w:tcPr>
          <w:p w:rsidR="00AF12E1" w:rsidRPr="008E6A4E" w:rsidRDefault="00AF12E1" w:rsidP="006D17A8">
            <w:pPr>
              <w:pStyle w:val="Default"/>
              <w:jc w:val="both"/>
              <w:rPr>
                <w:color w:val="auto"/>
                <w:sz w:val="22"/>
                <w:szCs w:val="22"/>
              </w:rPr>
            </w:pPr>
            <w:r w:rsidRPr="008E6A4E">
              <w:rPr>
                <w:color w:val="auto"/>
                <w:sz w:val="22"/>
                <w:szCs w:val="22"/>
              </w:rPr>
              <w:t>Orosz Ferenc Sándor</w:t>
            </w:r>
          </w:p>
          <w:p w:rsidR="00AF12E1" w:rsidRPr="008E6A4E" w:rsidRDefault="00AF12E1" w:rsidP="006D17A8">
            <w:pPr>
              <w:pStyle w:val="Default"/>
              <w:jc w:val="both"/>
              <w:rPr>
                <w:color w:val="auto"/>
                <w:sz w:val="22"/>
                <w:szCs w:val="22"/>
              </w:rPr>
            </w:pPr>
            <w:r w:rsidRPr="008E6A4E">
              <w:rPr>
                <w:color w:val="auto"/>
                <w:sz w:val="22"/>
                <w:szCs w:val="22"/>
              </w:rPr>
              <w:t>Fenntartó képviselője</w:t>
            </w:r>
          </w:p>
          <w:p w:rsidR="00AF12E1" w:rsidRPr="008E6A4E" w:rsidRDefault="00AF12E1" w:rsidP="006D17A8">
            <w:pPr>
              <w:pStyle w:val="Default"/>
              <w:jc w:val="both"/>
              <w:rPr>
                <w:color w:val="auto"/>
              </w:rPr>
            </w:pPr>
            <w:r w:rsidRPr="008E6A4E">
              <w:rPr>
                <w:color w:val="auto"/>
              </w:rPr>
              <w:t>Tulajdonba vevő képviseletében</w:t>
            </w:r>
          </w:p>
        </w:tc>
        <w:tc>
          <w:tcPr>
            <w:tcW w:w="2265" w:type="dxa"/>
            <w:shd w:val="clear" w:color="auto" w:fill="auto"/>
          </w:tcPr>
          <w:p w:rsidR="00AF12E1" w:rsidRPr="008E6A4E" w:rsidRDefault="00AF12E1" w:rsidP="006D17A8">
            <w:pPr>
              <w:pStyle w:val="Default"/>
              <w:jc w:val="both"/>
              <w:rPr>
                <w:b/>
                <w:bCs/>
                <w:color w:val="auto"/>
              </w:rPr>
            </w:pPr>
          </w:p>
        </w:tc>
        <w:tc>
          <w:tcPr>
            <w:tcW w:w="2266" w:type="dxa"/>
            <w:shd w:val="clear" w:color="auto" w:fill="auto"/>
          </w:tcPr>
          <w:p w:rsidR="00AF12E1" w:rsidRPr="008E6A4E" w:rsidRDefault="00AF12E1" w:rsidP="006D17A8">
            <w:pPr>
              <w:pStyle w:val="Default"/>
              <w:jc w:val="both"/>
              <w:rPr>
                <w:b/>
                <w:bCs/>
                <w:color w:val="auto"/>
              </w:rPr>
            </w:pPr>
          </w:p>
        </w:tc>
        <w:tc>
          <w:tcPr>
            <w:tcW w:w="2266" w:type="dxa"/>
            <w:shd w:val="clear" w:color="auto" w:fill="auto"/>
          </w:tcPr>
          <w:p w:rsidR="00AF12E1" w:rsidRPr="008E6A4E" w:rsidRDefault="00AF12E1" w:rsidP="006D17A8">
            <w:pPr>
              <w:pStyle w:val="Default"/>
              <w:jc w:val="both"/>
              <w:rPr>
                <w:color w:val="auto"/>
                <w:sz w:val="22"/>
                <w:szCs w:val="22"/>
              </w:rPr>
            </w:pPr>
            <w:r w:rsidRPr="008E6A4E">
              <w:rPr>
                <w:color w:val="auto"/>
                <w:sz w:val="22"/>
                <w:szCs w:val="22"/>
              </w:rPr>
              <w:t>Szőke Zoltán</w:t>
            </w:r>
          </w:p>
          <w:p w:rsidR="00AF12E1" w:rsidRPr="008E6A4E" w:rsidRDefault="00AF12E1" w:rsidP="006D17A8">
            <w:pPr>
              <w:pStyle w:val="Default"/>
              <w:jc w:val="both"/>
              <w:rPr>
                <w:color w:val="auto"/>
              </w:rPr>
            </w:pPr>
            <w:r w:rsidRPr="008E6A4E">
              <w:rPr>
                <w:color w:val="auto"/>
                <w:sz w:val="22"/>
                <w:szCs w:val="22"/>
              </w:rPr>
              <w:t>polgármester</w:t>
            </w:r>
          </w:p>
          <w:p w:rsidR="00AF12E1" w:rsidRPr="008E6A4E" w:rsidRDefault="00AF12E1" w:rsidP="006D17A8">
            <w:pPr>
              <w:pStyle w:val="Default"/>
              <w:jc w:val="both"/>
              <w:rPr>
                <w:color w:val="auto"/>
              </w:rPr>
            </w:pPr>
            <w:r w:rsidRPr="008E6A4E">
              <w:rPr>
                <w:color w:val="auto"/>
              </w:rPr>
              <w:t>Tulajdonba adó képviseletében</w:t>
            </w:r>
          </w:p>
        </w:tc>
      </w:tr>
      <w:tr w:rsidR="00AF12E1" w:rsidTr="006D17A8">
        <w:tc>
          <w:tcPr>
            <w:tcW w:w="2265" w:type="dxa"/>
            <w:shd w:val="clear" w:color="auto" w:fill="auto"/>
          </w:tcPr>
          <w:p w:rsidR="00AF12E1" w:rsidRPr="008E6A4E" w:rsidRDefault="00AF12E1" w:rsidP="006D17A8">
            <w:pPr>
              <w:pStyle w:val="Default"/>
              <w:jc w:val="both"/>
              <w:rPr>
                <w:color w:val="auto"/>
              </w:rPr>
            </w:pPr>
            <w:r w:rsidRPr="008E6A4E">
              <w:rPr>
                <w:color w:val="auto"/>
              </w:rPr>
              <w:t>Esélytér Intézményfenntartó</w:t>
            </w:r>
          </w:p>
        </w:tc>
        <w:tc>
          <w:tcPr>
            <w:tcW w:w="2265" w:type="dxa"/>
            <w:shd w:val="clear" w:color="auto" w:fill="auto"/>
          </w:tcPr>
          <w:p w:rsidR="00AF12E1" w:rsidRPr="008E6A4E" w:rsidRDefault="00AF12E1" w:rsidP="006D17A8">
            <w:pPr>
              <w:pStyle w:val="Default"/>
              <w:jc w:val="both"/>
              <w:rPr>
                <w:b/>
                <w:bCs/>
                <w:color w:val="auto"/>
              </w:rPr>
            </w:pPr>
          </w:p>
        </w:tc>
        <w:tc>
          <w:tcPr>
            <w:tcW w:w="2266" w:type="dxa"/>
            <w:shd w:val="clear" w:color="auto" w:fill="auto"/>
          </w:tcPr>
          <w:p w:rsidR="00AF12E1" w:rsidRPr="008E6A4E" w:rsidRDefault="00AF12E1" w:rsidP="006D17A8">
            <w:pPr>
              <w:pStyle w:val="Default"/>
              <w:jc w:val="both"/>
              <w:rPr>
                <w:b/>
                <w:bCs/>
                <w:color w:val="auto"/>
              </w:rPr>
            </w:pPr>
          </w:p>
        </w:tc>
        <w:tc>
          <w:tcPr>
            <w:tcW w:w="2266" w:type="dxa"/>
            <w:shd w:val="clear" w:color="auto" w:fill="auto"/>
          </w:tcPr>
          <w:p w:rsidR="00AF12E1" w:rsidRPr="008E6A4E" w:rsidRDefault="00AF12E1" w:rsidP="006D17A8">
            <w:pPr>
              <w:pStyle w:val="Default"/>
              <w:jc w:val="both"/>
              <w:rPr>
                <w:color w:val="auto"/>
              </w:rPr>
            </w:pPr>
            <w:r w:rsidRPr="008E6A4E">
              <w:rPr>
                <w:color w:val="auto"/>
              </w:rPr>
              <w:t>Tiszavasvári Város Önkormányzata</w:t>
            </w:r>
          </w:p>
          <w:p w:rsidR="00AF12E1" w:rsidRPr="008E6A4E" w:rsidRDefault="00AF12E1" w:rsidP="006D17A8">
            <w:pPr>
              <w:pStyle w:val="Default"/>
              <w:jc w:val="both"/>
              <w:rPr>
                <w:color w:val="auto"/>
              </w:rPr>
            </w:pPr>
          </w:p>
        </w:tc>
      </w:tr>
    </w:tbl>
    <w:p w:rsidR="00AF12E1" w:rsidRPr="00F46406" w:rsidRDefault="00AF12E1" w:rsidP="00AF12E1">
      <w:pPr>
        <w:pStyle w:val="Default"/>
        <w:jc w:val="both"/>
        <w:rPr>
          <w:b/>
          <w:bCs/>
          <w:color w:val="auto"/>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79"/>
        <w:gridCol w:w="4379"/>
      </w:tblGrid>
      <w:tr w:rsidR="00AF12E1" w:rsidRPr="009D56EA" w:rsidTr="006D17A8">
        <w:trPr>
          <w:trHeight w:val="732"/>
        </w:trPr>
        <w:tc>
          <w:tcPr>
            <w:tcW w:w="4379" w:type="dxa"/>
            <w:tcBorders>
              <w:top w:val="nil"/>
              <w:left w:val="nil"/>
              <w:bottom w:val="nil"/>
              <w:right w:val="none" w:sz="6" w:space="0" w:color="auto"/>
            </w:tcBorders>
          </w:tcPr>
          <w:p w:rsidR="00AF12E1" w:rsidRPr="009D56EA" w:rsidRDefault="00AF12E1" w:rsidP="006D17A8">
            <w:pPr>
              <w:pStyle w:val="Default"/>
              <w:rPr>
                <w:sz w:val="18"/>
                <w:szCs w:val="18"/>
              </w:rPr>
            </w:pPr>
            <w:r w:rsidRPr="009D56EA">
              <w:rPr>
                <w:sz w:val="18"/>
                <w:szCs w:val="18"/>
              </w:rPr>
              <w:t xml:space="preserve">A Tulajdonba vevő részéről </w:t>
            </w:r>
            <w:proofErr w:type="spellStart"/>
            <w:r w:rsidRPr="009D56EA">
              <w:rPr>
                <w:sz w:val="18"/>
                <w:szCs w:val="18"/>
              </w:rPr>
              <w:t>ellenjegyzem</w:t>
            </w:r>
            <w:proofErr w:type="spellEnd"/>
            <w:r w:rsidRPr="009D56EA">
              <w:rPr>
                <w:sz w:val="18"/>
                <w:szCs w:val="18"/>
              </w:rPr>
              <w:t xml:space="preserve"> és egyben nyilatkozom, hogy jelen okirat a jogszabályoknak megfelel: </w:t>
            </w:r>
          </w:p>
          <w:p w:rsidR="00AF12E1" w:rsidRPr="009D56EA" w:rsidRDefault="00AF12E1" w:rsidP="006D17A8">
            <w:pPr>
              <w:pStyle w:val="Default"/>
              <w:rPr>
                <w:sz w:val="18"/>
                <w:szCs w:val="18"/>
              </w:rPr>
            </w:pPr>
            <w:r>
              <w:rPr>
                <w:sz w:val="18"/>
                <w:szCs w:val="18"/>
              </w:rPr>
              <w:t>Nyíregyháza, 2023. augusztus 29. n</w:t>
            </w:r>
            <w:r w:rsidRPr="009D56EA">
              <w:rPr>
                <w:sz w:val="18"/>
                <w:szCs w:val="18"/>
              </w:rPr>
              <w:t xml:space="preserve">apján </w:t>
            </w:r>
          </w:p>
          <w:p w:rsidR="00AF12E1" w:rsidRPr="009D56EA" w:rsidRDefault="00AF12E1" w:rsidP="006D17A8">
            <w:pPr>
              <w:pStyle w:val="Default"/>
              <w:rPr>
                <w:sz w:val="18"/>
                <w:szCs w:val="18"/>
              </w:rPr>
            </w:pPr>
          </w:p>
        </w:tc>
        <w:tc>
          <w:tcPr>
            <w:tcW w:w="4379" w:type="dxa"/>
            <w:tcBorders>
              <w:top w:val="nil"/>
              <w:left w:val="none" w:sz="6" w:space="0" w:color="auto"/>
              <w:bottom w:val="nil"/>
              <w:right w:val="nil"/>
            </w:tcBorders>
          </w:tcPr>
          <w:p w:rsidR="00AF12E1" w:rsidRPr="009D56EA" w:rsidRDefault="00AF12E1" w:rsidP="006D17A8">
            <w:pPr>
              <w:pStyle w:val="Default"/>
              <w:rPr>
                <w:sz w:val="18"/>
                <w:szCs w:val="18"/>
              </w:rPr>
            </w:pPr>
            <w:r w:rsidRPr="009D56EA">
              <w:rPr>
                <w:sz w:val="18"/>
                <w:szCs w:val="18"/>
              </w:rPr>
              <w:t xml:space="preserve"> Az Önkormányzat részéről </w:t>
            </w:r>
            <w:proofErr w:type="spellStart"/>
            <w:r w:rsidRPr="009D56EA">
              <w:rPr>
                <w:sz w:val="18"/>
                <w:szCs w:val="18"/>
              </w:rPr>
              <w:t>ellenjegyzem</w:t>
            </w:r>
            <w:proofErr w:type="spellEnd"/>
            <w:r w:rsidRPr="009D56EA">
              <w:rPr>
                <w:sz w:val="18"/>
                <w:szCs w:val="18"/>
              </w:rPr>
              <w:t xml:space="preserve"> azzal, hogy a jelen ellenjegyzés az </w:t>
            </w:r>
            <w:proofErr w:type="spellStart"/>
            <w:r w:rsidRPr="009D56EA">
              <w:rPr>
                <w:sz w:val="18"/>
                <w:szCs w:val="18"/>
              </w:rPr>
              <w:t>Üttv</w:t>
            </w:r>
            <w:proofErr w:type="spellEnd"/>
            <w:r w:rsidRPr="009D56EA">
              <w:rPr>
                <w:sz w:val="18"/>
                <w:szCs w:val="18"/>
              </w:rPr>
              <w:t>. 44.§ (1) bekezdés c)</w:t>
            </w:r>
            <w:proofErr w:type="spellStart"/>
            <w:r w:rsidRPr="009D56EA">
              <w:rPr>
                <w:sz w:val="18"/>
                <w:szCs w:val="18"/>
              </w:rPr>
              <w:t>-d</w:t>
            </w:r>
            <w:proofErr w:type="spellEnd"/>
            <w:r w:rsidRPr="009D56EA">
              <w:rPr>
                <w:sz w:val="18"/>
                <w:szCs w:val="18"/>
              </w:rPr>
              <w:t>) pontjaiban foglaltaknak a Tulajdonba adó vonatkozásában való tanúsítására</w:t>
            </w:r>
            <w:r>
              <w:rPr>
                <w:sz w:val="18"/>
                <w:szCs w:val="18"/>
              </w:rPr>
              <w:t xml:space="preserve"> </w:t>
            </w:r>
            <w:r w:rsidRPr="009D56EA">
              <w:rPr>
                <w:sz w:val="18"/>
                <w:szCs w:val="18"/>
              </w:rPr>
              <w:t>terjed ki</w:t>
            </w:r>
            <w:proofErr w:type="gramStart"/>
            <w:r w:rsidRPr="009D56EA">
              <w:rPr>
                <w:sz w:val="18"/>
                <w:szCs w:val="18"/>
              </w:rPr>
              <w:t>:</w:t>
            </w:r>
            <w:r>
              <w:rPr>
                <w:sz w:val="18"/>
                <w:szCs w:val="18"/>
              </w:rPr>
              <w:t xml:space="preserve"> </w:t>
            </w:r>
            <w:r w:rsidRPr="009D56EA">
              <w:rPr>
                <w:sz w:val="18"/>
                <w:szCs w:val="18"/>
              </w:rPr>
              <w:t>…</w:t>
            </w:r>
            <w:proofErr w:type="gramEnd"/>
            <w:r w:rsidRPr="009D56EA">
              <w:rPr>
                <w:sz w:val="18"/>
                <w:szCs w:val="18"/>
              </w:rPr>
              <w:t xml:space="preserve">…….., </w:t>
            </w:r>
            <w:r>
              <w:rPr>
                <w:sz w:val="18"/>
                <w:szCs w:val="18"/>
              </w:rPr>
              <w:t>2023. augusztus  31. napján</w:t>
            </w:r>
          </w:p>
        </w:tc>
      </w:tr>
    </w:tbl>
    <w:p w:rsidR="00AF12E1" w:rsidRPr="009F709F" w:rsidRDefault="00AF12E1" w:rsidP="00AF12E1">
      <w:pPr>
        <w:jc w:val="both"/>
        <w:rPr>
          <w:b/>
          <w:bCs/>
          <w:sz w:val="24"/>
          <w:szCs w:val="24"/>
        </w:rPr>
      </w:pPr>
    </w:p>
    <w:sectPr w:rsidR="00AF12E1" w:rsidRPr="009F709F" w:rsidSect="00805F80">
      <w:footerReference w:type="even" r:id="rId6"/>
      <w:footerReference w:type="default" r:id="rId7"/>
      <w:pgSz w:w="11907" w:h="16840"/>
      <w:pgMar w:top="1417" w:right="1417" w:bottom="1417" w:left="1417"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0B0D1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A92587" w:rsidRDefault="000B0D1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0B0D1D">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6</w:t>
    </w:r>
    <w:r>
      <w:rPr>
        <w:rStyle w:val="Oldalszm"/>
      </w:rPr>
      <w:fldChar w:fldCharType="end"/>
    </w:r>
  </w:p>
  <w:p w:rsidR="00A92587" w:rsidRDefault="000B0D1D">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71962"/>
    <w:multiLevelType w:val="hybridMultilevel"/>
    <w:tmpl w:val="656097EC"/>
    <w:lvl w:ilvl="0" w:tplc="18362D4E">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6EA50FD"/>
    <w:multiLevelType w:val="hybridMultilevel"/>
    <w:tmpl w:val="1FAA402A"/>
    <w:lvl w:ilvl="0" w:tplc="7068D7E6">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1436BF5"/>
    <w:multiLevelType w:val="hybridMultilevel"/>
    <w:tmpl w:val="9CE8D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AF"/>
    <w:rsid w:val="000B0D1D"/>
    <w:rsid w:val="00227B0A"/>
    <w:rsid w:val="003D05EB"/>
    <w:rsid w:val="004C68BD"/>
    <w:rsid w:val="00551093"/>
    <w:rsid w:val="00802E8F"/>
    <w:rsid w:val="009619B9"/>
    <w:rsid w:val="00AF12E1"/>
    <w:rsid w:val="00C34ABF"/>
    <w:rsid w:val="00E360AF"/>
    <w:rsid w:val="00FE2E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E360AF"/>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E360AF"/>
    <w:rPr>
      <w:rFonts w:ascii="Times New Roman" w:eastAsia="Times New Roman" w:hAnsi="Times New Roman" w:cs="Times New Roman"/>
      <w:sz w:val="20"/>
      <w:szCs w:val="20"/>
      <w:lang w:eastAsia="hu-HU"/>
    </w:rPr>
  </w:style>
  <w:style w:type="character" w:styleId="Oldalszm">
    <w:name w:val="page number"/>
    <w:basedOn w:val="Bekezdsalapbettpusa"/>
    <w:rsid w:val="00E360AF"/>
  </w:style>
  <w:style w:type="paragraph" w:customStyle="1" w:styleId="CharCharCharChar">
    <w:name w:val="Char Char Char Char"/>
    <w:basedOn w:val="Norml"/>
    <w:rsid w:val="00E360AF"/>
    <w:pPr>
      <w:widowControl w:val="0"/>
      <w:suppressAutoHyphens/>
      <w:spacing w:after="160" w:line="240" w:lineRule="exact"/>
    </w:pPr>
    <w:rPr>
      <w:rFonts w:ascii="Tahoma" w:eastAsia="Lucida Sans Unicode" w:hAnsi="Tahoma" w:cs="Times New Roman"/>
      <w:sz w:val="20"/>
      <w:szCs w:val="20"/>
      <w:lang w:val="en-US"/>
    </w:rPr>
  </w:style>
  <w:style w:type="paragraph" w:styleId="Szvegtrzs">
    <w:name w:val="Body Text"/>
    <w:basedOn w:val="Norml"/>
    <w:link w:val="SzvegtrzsChar"/>
    <w:rsid w:val="00AF12E1"/>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AF12E1"/>
    <w:rPr>
      <w:rFonts w:ascii="Times New Roman" w:eastAsia="Times New Roman" w:hAnsi="Times New Roman" w:cs="Times New Roman"/>
      <w:sz w:val="24"/>
      <w:szCs w:val="20"/>
      <w:lang w:eastAsia="hu-HU"/>
    </w:rPr>
  </w:style>
  <w:style w:type="paragraph" w:customStyle="1" w:styleId="Default">
    <w:name w:val="Default"/>
    <w:rsid w:val="00AF12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E360AF"/>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E360AF"/>
    <w:rPr>
      <w:rFonts w:ascii="Times New Roman" w:eastAsia="Times New Roman" w:hAnsi="Times New Roman" w:cs="Times New Roman"/>
      <w:sz w:val="20"/>
      <w:szCs w:val="20"/>
      <w:lang w:eastAsia="hu-HU"/>
    </w:rPr>
  </w:style>
  <w:style w:type="character" w:styleId="Oldalszm">
    <w:name w:val="page number"/>
    <w:basedOn w:val="Bekezdsalapbettpusa"/>
    <w:rsid w:val="00E360AF"/>
  </w:style>
  <w:style w:type="paragraph" w:customStyle="1" w:styleId="CharCharCharChar">
    <w:name w:val="Char Char Char Char"/>
    <w:basedOn w:val="Norml"/>
    <w:rsid w:val="00E360AF"/>
    <w:pPr>
      <w:widowControl w:val="0"/>
      <w:suppressAutoHyphens/>
      <w:spacing w:after="160" w:line="240" w:lineRule="exact"/>
    </w:pPr>
    <w:rPr>
      <w:rFonts w:ascii="Tahoma" w:eastAsia="Lucida Sans Unicode" w:hAnsi="Tahoma" w:cs="Times New Roman"/>
      <w:sz w:val="20"/>
      <w:szCs w:val="20"/>
      <w:lang w:val="en-US"/>
    </w:rPr>
  </w:style>
  <w:style w:type="paragraph" w:styleId="Szvegtrzs">
    <w:name w:val="Body Text"/>
    <w:basedOn w:val="Norml"/>
    <w:link w:val="SzvegtrzsChar"/>
    <w:rsid w:val="00AF12E1"/>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AF12E1"/>
    <w:rPr>
      <w:rFonts w:ascii="Times New Roman" w:eastAsia="Times New Roman" w:hAnsi="Times New Roman" w:cs="Times New Roman"/>
      <w:sz w:val="24"/>
      <w:szCs w:val="20"/>
      <w:lang w:eastAsia="hu-HU"/>
    </w:rPr>
  </w:style>
  <w:style w:type="paragraph" w:customStyle="1" w:styleId="Default">
    <w:name w:val="Default"/>
    <w:rsid w:val="00AF12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1923</Words>
  <Characters>13272</Characters>
  <Application>Microsoft Office Word</Application>
  <DocSecurity>0</DocSecurity>
  <Lines>110</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10</cp:revision>
  <dcterms:created xsi:type="dcterms:W3CDTF">2023-09-05T08:21:00Z</dcterms:created>
  <dcterms:modified xsi:type="dcterms:W3CDTF">2023-09-05T08:33:00Z</dcterms:modified>
</cp:coreProperties>
</file>