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D4" w:rsidRDefault="00402CD4" w:rsidP="00402CD4">
      <w:pPr>
        <w:jc w:val="center"/>
        <w:rPr>
          <w:b/>
        </w:rPr>
      </w:pPr>
    </w:p>
    <w:p w:rsidR="00402CD4" w:rsidRPr="00073B21" w:rsidRDefault="00402CD4" w:rsidP="00402CD4">
      <w:pPr>
        <w:pStyle w:val="Cm"/>
        <w:rPr>
          <w:sz w:val="28"/>
          <w:szCs w:val="28"/>
        </w:rPr>
      </w:pPr>
      <w:r>
        <w:rPr>
          <w:szCs w:val="24"/>
        </w:rPr>
        <w:t>TISZAVASVÁRI VÁROS ÖNKORMÁNYZATA</w:t>
      </w:r>
      <w:r>
        <w:rPr>
          <w:szCs w:val="24"/>
        </w:rPr>
        <w:br/>
        <w:t>KÉPVISELŐ-TESTÜLETÉNEK</w:t>
      </w:r>
    </w:p>
    <w:p w:rsidR="00402CD4" w:rsidRPr="00073B21" w:rsidRDefault="00073B21" w:rsidP="00402CD4">
      <w:pPr>
        <w:jc w:val="center"/>
        <w:rPr>
          <w:rFonts w:ascii="Times New Roman" w:hAnsi="Times New Roman"/>
          <w:b/>
          <w:sz w:val="24"/>
          <w:szCs w:val="24"/>
        </w:rPr>
      </w:pPr>
      <w:r w:rsidRPr="00073B21">
        <w:rPr>
          <w:rFonts w:ascii="Times New Roman" w:hAnsi="Times New Roman"/>
          <w:b/>
          <w:sz w:val="24"/>
          <w:szCs w:val="24"/>
        </w:rPr>
        <w:t>18</w:t>
      </w:r>
      <w:r w:rsidR="00402CD4" w:rsidRPr="00073B21">
        <w:rPr>
          <w:rFonts w:ascii="Times New Roman" w:hAnsi="Times New Roman"/>
          <w:b/>
          <w:sz w:val="24"/>
          <w:szCs w:val="24"/>
        </w:rPr>
        <w:t>/2012. (V.3.) önkormányzati rendelete</w:t>
      </w:r>
    </w:p>
    <w:p w:rsidR="00402CD4" w:rsidRPr="00073B21" w:rsidRDefault="00402CD4" w:rsidP="00402CD4">
      <w:pPr>
        <w:rPr>
          <w:rFonts w:ascii="Times New Roman" w:hAnsi="Times New Roman"/>
          <w:b/>
        </w:rPr>
      </w:pPr>
    </w:p>
    <w:p w:rsidR="00402CD4" w:rsidRPr="00073B21" w:rsidRDefault="00402CD4" w:rsidP="00402CD4">
      <w:pPr>
        <w:pStyle w:val="NormlWeb"/>
        <w:spacing w:before="6" w:after="6"/>
        <w:jc w:val="center"/>
        <w:rPr>
          <w:b/>
          <w:bCs/>
          <w:iCs/>
          <w:color w:val="000000"/>
        </w:rPr>
      </w:pPr>
      <w:proofErr w:type="gramStart"/>
      <w:r w:rsidRPr="00073B21">
        <w:rPr>
          <w:b/>
          <w:iCs/>
          <w:color w:val="000000"/>
        </w:rPr>
        <w:t>az</w:t>
      </w:r>
      <w:proofErr w:type="gramEnd"/>
      <w:r w:rsidRPr="00073B21">
        <w:rPr>
          <w:b/>
          <w:iCs/>
          <w:color w:val="000000"/>
        </w:rPr>
        <w:t xml:space="preserve"> egyes helyi önkormányzati rendeletek szabálysértési tényállásai </w:t>
      </w:r>
      <w:r w:rsidRPr="00073B21">
        <w:rPr>
          <w:b/>
          <w:bCs/>
          <w:iCs/>
          <w:color w:val="000000"/>
        </w:rPr>
        <w:t>hatályon kívül helyezéséről</w:t>
      </w:r>
    </w:p>
    <w:p w:rsidR="00402CD4" w:rsidRDefault="00402CD4" w:rsidP="00402CD4">
      <w:pPr>
        <w:rPr>
          <w:b/>
        </w:rPr>
      </w:pPr>
    </w:p>
    <w:p w:rsidR="00402CD4" w:rsidRDefault="00402CD4" w:rsidP="00402CD4">
      <w:pPr>
        <w:jc w:val="center"/>
        <w:rPr>
          <w:b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szabálysértésekről, a szabálysértési eljárásról és a szabálysértési nyilvántartási rendszerről szóló 2012. évi II. törvény 254. § (2) bekezdésében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biztosított felhatalmazás alapján,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az Alaptörvény 32. cikk (1) bekezdés a) pontjában meghatározott feladatkörében eljárva</w:t>
      </w:r>
      <w:r>
        <w:rPr>
          <w:rFonts w:ascii="Times New Roman" w:hAnsi="Times New Roman"/>
          <w:color w:val="FF6600"/>
          <w:sz w:val="24"/>
          <w:szCs w:val="24"/>
        </w:rPr>
        <w:t xml:space="preserve"> </w:t>
      </w:r>
      <w:r>
        <w:rPr>
          <w:rFonts w:ascii="Symbol" w:hAnsi="Symbol"/>
        </w:rPr>
        <w:t></w:t>
      </w:r>
      <w:r>
        <w:t xml:space="preserve"> </w:t>
      </w:r>
      <w:r w:rsidR="00C30B5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Szervezeti és Működési Szabályzatról szóló 22/2010.(X.29.) rendelet 2. sz. melléklete 3.4. pontja által biztosított véleményezési jogkörében illetékes Ügyrendi és Jogi Bizottság véleményének kikérésével</w:t>
      </w:r>
      <w:r>
        <w:t xml:space="preserve"> </w:t>
      </w:r>
      <w:r>
        <w:rPr>
          <w:rFonts w:ascii="Symbol" w:hAnsi="Symbol"/>
        </w:rPr>
        <w:t>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 következőket rendeli el:</w:t>
      </w:r>
    </w:p>
    <w:p w:rsidR="00402CD4" w:rsidRDefault="00402CD4" w:rsidP="00402CD4"/>
    <w:p w:rsidR="00402CD4" w:rsidRDefault="00402CD4" w:rsidP="00402CD4">
      <w:pPr>
        <w:pStyle w:val="Cmsor2"/>
        <w:spacing w:before="0" w:after="0"/>
        <w:jc w:val="both"/>
        <w:rPr>
          <w:b w:val="0"/>
          <w:szCs w:val="24"/>
        </w:rPr>
      </w:pPr>
      <w:proofErr w:type="gramStart"/>
      <w:r>
        <w:rPr>
          <w:szCs w:val="24"/>
        </w:rPr>
        <w:t>l</w:t>
      </w:r>
      <w:proofErr w:type="gramEnd"/>
      <w:r>
        <w:rPr>
          <w:szCs w:val="24"/>
        </w:rPr>
        <w:t xml:space="preserve">. § </w:t>
      </w:r>
      <w:r>
        <w:rPr>
          <w:b w:val="0"/>
          <w:szCs w:val="24"/>
        </w:rPr>
        <w:t>(1)</w:t>
      </w:r>
      <w:r>
        <w:rPr>
          <w:bCs/>
          <w:szCs w:val="24"/>
        </w:rPr>
        <w:t xml:space="preserve"> </w:t>
      </w:r>
      <w:r>
        <w:rPr>
          <w:b w:val="0"/>
          <w:szCs w:val="24"/>
        </w:rPr>
        <w:t>Hatályát veszti</w:t>
      </w:r>
      <w:r>
        <w:rPr>
          <w:bCs/>
          <w:szCs w:val="24"/>
        </w:rPr>
        <w:t xml:space="preserve"> </w:t>
      </w:r>
      <w:r>
        <w:rPr>
          <w:b w:val="0"/>
          <w:szCs w:val="24"/>
        </w:rPr>
        <w:t>a plakátok, hirdetmények elhelyezésének rendjéről szóló 4/1994. (IV.05.) rendelet 3.§</w:t>
      </w:r>
      <w:proofErr w:type="spellStart"/>
      <w:r>
        <w:rPr>
          <w:b w:val="0"/>
          <w:szCs w:val="24"/>
        </w:rPr>
        <w:t>-</w:t>
      </w:r>
      <w:proofErr w:type="gramStart"/>
      <w:r>
        <w:rPr>
          <w:b w:val="0"/>
          <w:szCs w:val="24"/>
        </w:rPr>
        <w:t>a</w:t>
      </w:r>
      <w:proofErr w:type="spellEnd"/>
      <w:r>
        <w:rPr>
          <w:b w:val="0"/>
          <w:szCs w:val="24"/>
        </w:rPr>
        <w:t>.</w:t>
      </w:r>
      <w:proofErr w:type="gramEnd"/>
    </w:p>
    <w:p w:rsidR="00402CD4" w:rsidRDefault="00402CD4" w:rsidP="00402CD4">
      <w:pPr>
        <w:pStyle w:val="Cmsor2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 xml:space="preserve">(2) </w:t>
      </w:r>
      <w:r>
        <w:rPr>
          <w:b w:val="0"/>
          <w:bCs/>
          <w:szCs w:val="24"/>
        </w:rPr>
        <w:t xml:space="preserve">Hatályát veszti </w:t>
      </w:r>
      <w:r>
        <w:rPr>
          <w:b w:val="0"/>
          <w:szCs w:val="24"/>
        </w:rPr>
        <w:t>a közterületek használatáról, valamint a közutak nem közlekedési célú</w:t>
      </w:r>
      <w:r w:rsidR="00933424">
        <w:rPr>
          <w:szCs w:val="24"/>
        </w:rPr>
        <w:t xml:space="preserve">                   </w:t>
      </w:r>
      <w:bookmarkStart w:id="0" w:name="_GoBack"/>
      <w:bookmarkEnd w:id="0"/>
      <w:r>
        <w:rPr>
          <w:b w:val="0"/>
          <w:szCs w:val="24"/>
        </w:rPr>
        <w:t>igénybevétele engedélyezésével kapcsolatos eljárásokról szóló 23/2003.(XI.5.) rendelet 26.§</w:t>
      </w:r>
      <w:proofErr w:type="spellStart"/>
      <w:r>
        <w:rPr>
          <w:b w:val="0"/>
          <w:szCs w:val="24"/>
        </w:rPr>
        <w:t>-</w:t>
      </w:r>
      <w:proofErr w:type="gramStart"/>
      <w:r>
        <w:rPr>
          <w:b w:val="0"/>
          <w:szCs w:val="24"/>
        </w:rPr>
        <w:t>a</w:t>
      </w:r>
      <w:proofErr w:type="spellEnd"/>
      <w:r>
        <w:rPr>
          <w:b w:val="0"/>
          <w:szCs w:val="24"/>
        </w:rPr>
        <w:t>.</w:t>
      </w:r>
      <w:proofErr w:type="gramEnd"/>
    </w:p>
    <w:p w:rsidR="00402CD4" w:rsidRDefault="00402CD4" w:rsidP="00402CD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bCs/>
          <w:sz w:val="24"/>
          <w:szCs w:val="24"/>
        </w:rPr>
        <w:t>Hatályát veszti a környezetünk védelméről szóló 24/2005.(XI.29.) rendelet 8.§</w:t>
      </w:r>
      <w:proofErr w:type="spellStart"/>
      <w:r>
        <w:rPr>
          <w:rFonts w:ascii="Times New Roman" w:hAnsi="Times New Roman"/>
          <w:bCs/>
          <w:sz w:val="24"/>
          <w:szCs w:val="24"/>
        </w:rPr>
        <w:t>-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02CD4" w:rsidRDefault="00402CD4" w:rsidP="00402CD4">
      <w:pPr>
        <w:pStyle w:val="lista1"/>
        <w:numPr>
          <w:ilvl w:val="0"/>
          <w:numId w:val="0"/>
        </w:numPr>
        <w:tabs>
          <w:tab w:val="left" w:pos="708"/>
        </w:tabs>
        <w:spacing w:before="0" w:after="0"/>
        <w:rPr>
          <w:szCs w:val="24"/>
        </w:rPr>
      </w:pPr>
      <w:r>
        <w:rPr>
          <w:bCs/>
          <w:szCs w:val="24"/>
        </w:rPr>
        <w:t xml:space="preserve">(4) Hatályát veszti </w:t>
      </w:r>
      <w:r>
        <w:rPr>
          <w:szCs w:val="24"/>
        </w:rPr>
        <w:t>az egyes területek helyi jelentőségű védett természeti területté nyilvánításáról szóló 31/2007.(XI.29.) rendelet 7.§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r>
        <w:rPr>
          <w:szCs w:val="24"/>
        </w:rPr>
        <w:t>.</w:t>
      </w:r>
      <w:proofErr w:type="gramEnd"/>
    </w:p>
    <w:p w:rsidR="00402CD4" w:rsidRDefault="00402CD4" w:rsidP="00402CD4">
      <w:pPr>
        <w:pStyle w:val="lista1"/>
        <w:numPr>
          <w:ilvl w:val="0"/>
          <w:numId w:val="0"/>
        </w:numPr>
        <w:tabs>
          <w:tab w:val="left" w:pos="708"/>
        </w:tabs>
        <w:spacing w:before="0" w:after="0"/>
        <w:rPr>
          <w:szCs w:val="24"/>
        </w:rPr>
      </w:pPr>
      <w:r>
        <w:rPr>
          <w:szCs w:val="24"/>
        </w:rPr>
        <w:t xml:space="preserve">(5) </w:t>
      </w:r>
      <w:r>
        <w:rPr>
          <w:bCs/>
          <w:szCs w:val="24"/>
        </w:rPr>
        <w:t xml:space="preserve">Hatályát veszti </w:t>
      </w:r>
      <w:r>
        <w:rPr>
          <w:szCs w:val="24"/>
        </w:rPr>
        <w:t>a köztisztaság fenntartásáról szóló 16/2008.(V.28.) rendelet 16.§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r>
        <w:rPr>
          <w:szCs w:val="24"/>
        </w:rPr>
        <w:t>.</w:t>
      </w:r>
      <w:proofErr w:type="gramEnd"/>
    </w:p>
    <w:p w:rsidR="00402CD4" w:rsidRDefault="00402CD4" w:rsidP="00402CD4">
      <w:pPr>
        <w:pStyle w:val="lista1"/>
        <w:numPr>
          <w:ilvl w:val="0"/>
          <w:numId w:val="0"/>
        </w:numPr>
        <w:tabs>
          <w:tab w:val="left" w:pos="708"/>
        </w:tabs>
        <w:spacing w:before="0" w:after="0"/>
        <w:rPr>
          <w:szCs w:val="24"/>
        </w:rPr>
      </w:pPr>
      <w:r>
        <w:rPr>
          <w:szCs w:val="24"/>
        </w:rPr>
        <w:t xml:space="preserve">(6) </w:t>
      </w:r>
      <w:r>
        <w:rPr>
          <w:bCs/>
          <w:szCs w:val="24"/>
        </w:rPr>
        <w:t xml:space="preserve">Hatályát veszti </w:t>
      </w:r>
      <w:r>
        <w:rPr>
          <w:szCs w:val="24"/>
        </w:rPr>
        <w:t>az állattartásról szóló 46/2009.(XII.23.) rendelet 5.§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r>
        <w:rPr>
          <w:szCs w:val="24"/>
        </w:rPr>
        <w:t>.</w:t>
      </w:r>
      <w:proofErr w:type="gramEnd"/>
    </w:p>
    <w:p w:rsidR="00402CD4" w:rsidRDefault="00402CD4" w:rsidP="00402CD4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(7) Hatályát veszti </w:t>
      </w:r>
      <w:r>
        <w:rPr>
          <w:rFonts w:ascii="Times New Roman" w:hAnsi="Times New Roman"/>
          <w:bCs/>
          <w:color w:val="000000"/>
          <w:sz w:val="24"/>
          <w:szCs w:val="24"/>
        </w:rPr>
        <w:t>a temetőkről és a temetkezési tevékenységekről szóló 4/2011.(II.15.) önkormányzati rendelet 13.§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</w:p>
    <w:p w:rsidR="00402CD4" w:rsidRDefault="00402CD4" w:rsidP="00402CD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(8) Hatályát veszti az egyes helyi közszolgáltatások kötelező igénybevételéről szóló 21/2011.(VI.27.) önkormányzati rendelet 34-35.§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02CD4" w:rsidRDefault="00402CD4" w:rsidP="00402CD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2.§  </w:t>
      </w:r>
      <w:r>
        <w:rPr>
          <w:rFonts w:ascii="Times New Roman" w:hAnsi="Times New Roman"/>
          <w:color w:val="000000"/>
          <w:sz w:val="24"/>
          <w:szCs w:val="24"/>
        </w:rPr>
        <w:t>Ez a rendelet 2012. május 31. napján lép hatályba, és 2012. június 1. napján hatályát veszti.</w:t>
      </w: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Tiszavasvári, 2012. április 26.</w:t>
      </w: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Dr. Fülöp </w:t>
      </w:r>
      <w:proofErr w:type="gramStart"/>
      <w:r>
        <w:rPr>
          <w:rFonts w:ascii="Times New Roman" w:hAnsi="Times New Roman"/>
          <w:b/>
          <w:sz w:val="24"/>
          <w:szCs w:val="24"/>
        </w:rPr>
        <w:t>Erik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Bundáné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Badics Ildikó</w:t>
      </w:r>
    </w:p>
    <w:p w:rsidR="00402CD4" w:rsidRDefault="00402CD4" w:rsidP="00402CD4">
      <w:pPr>
        <w:tabs>
          <w:tab w:val="center" w:pos="1418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jegyző</w:t>
      </w: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kihirdetve: 2012. május 3.</w:t>
      </w: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Bundáné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Badics Ildikó</w:t>
      </w:r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402CD4" w:rsidRDefault="00402CD4" w:rsidP="00402CD4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402CD4" w:rsidRDefault="00402CD4" w:rsidP="00402CD4">
      <w:pPr>
        <w:pStyle w:val="NormlWeb"/>
        <w:pageBreakBefore/>
        <w:spacing w:before="0" w:after="0"/>
      </w:pPr>
    </w:p>
    <w:p w:rsidR="00402CD4" w:rsidRDefault="00402CD4" w:rsidP="00402CD4">
      <w:pPr>
        <w:pStyle w:val="NormlWeb"/>
        <w:spacing w:before="0" w:after="0"/>
        <w:rPr>
          <w:b/>
          <w:color w:val="000000"/>
        </w:rPr>
      </w:pPr>
      <w:proofErr w:type="gramStart"/>
      <w:r>
        <w:rPr>
          <w:b/>
        </w:rPr>
        <w:t>A  szabálysértési</w:t>
      </w:r>
      <w:proofErr w:type="gramEnd"/>
      <w:r>
        <w:rPr>
          <w:b/>
        </w:rPr>
        <w:t xml:space="preserve"> tényállásokat tartalmazó helyi önkormányzati </w:t>
      </w:r>
      <w:r>
        <w:rPr>
          <w:b/>
          <w:bCs/>
        </w:rPr>
        <w:t xml:space="preserve">rendeleti rendelkezések hatályon kívül helyezéséről szóló </w:t>
      </w:r>
      <w:r w:rsidR="00073B21">
        <w:rPr>
          <w:b/>
          <w:color w:val="000000"/>
        </w:rPr>
        <w:t>18</w:t>
      </w:r>
      <w:r>
        <w:rPr>
          <w:b/>
          <w:color w:val="000000"/>
        </w:rPr>
        <w:t>/2012. (V.3.) önkormányzati rendelet indokolása</w:t>
      </w:r>
    </w:p>
    <w:p w:rsidR="00402CD4" w:rsidRDefault="00402CD4" w:rsidP="00402C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2CD4" w:rsidRDefault="00402CD4" w:rsidP="00402CD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CD4" w:rsidRDefault="00402CD4" w:rsidP="00402C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Általános indokolás</w:t>
      </w:r>
    </w:p>
    <w:p w:rsidR="00402CD4" w:rsidRDefault="00402CD4" w:rsidP="00402CD4">
      <w:pPr>
        <w:keepLines/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szabálysértésekről, a szabálysértési eljárásról és a szabálysértési nyilvántartási rendszerről szóló 2012. évi II. törvény 254.§ (2) bekezdése alapján az önkormányzatok 2012. május 31-ig kötelesek hatályon kívül helyezni az önkormányzati rendeletekben meghatározott szabálysértési rendelkezéseket.</w:t>
      </w:r>
    </w:p>
    <w:p w:rsidR="00402CD4" w:rsidRDefault="00402CD4" w:rsidP="00402CD4">
      <w:pPr>
        <w:keepLines/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2CD4" w:rsidRDefault="00402CD4" w:rsidP="00402C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Részletes indokolás </w:t>
      </w:r>
    </w:p>
    <w:p w:rsidR="00402CD4" w:rsidRDefault="00402CD4" w:rsidP="00402C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jogalkotásra vonatkozó jogszabályi előírásoknak való megfelelés érdekében, azoknak eleget téve vált szükségessé Tiszavasvári Város Önkormányzata Képviselő-testülete által alkotott egyes helyi önkormányzati rendeletekben található szabálysértési tényállások hatályon kívül helyezése.</w:t>
      </w: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önkormányzati rendeletben megjelenő szabálysértési tényállások helyi problémák kezelésére adtak gyors, hatékony megoldási lehetőséget. A szeszesital közterületen történő fogyasztásának tilalmára hivatkozva például több feljelentés érkezett a szabálysértési hatósághoz a rendőrhatóságtól is. Igaz viszont, hogy a tényállások nagyobb része olyan régi rendeletek szabályozási tárgya volt, melyeknél mindenképpen felülvizsgálatra várt az a tény, hogy magasabb szintű jogszabály által szabályozott elkövetési magatartásokat nem tartalmazhat önkormányzati rendelet. A legtöbb esetben ugyanis az elkövetett cselekmény ütköztethető valamely törvényi tényállásba. </w:t>
      </w:r>
    </w:p>
    <w:p w:rsidR="00402CD4" w:rsidRDefault="00402CD4" w:rsidP="00402CD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egyes személyek vonatkozásában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 központi szabályozás révén kiszámíthatóbb a szabályanyag ismeret, mivel a helyi szabályozás ismeretének hiánya miatt bírságolás tehát nem várható. Az önkormányzat, mint jogalkotó ugyanis a helyi viszonyok ismeretében tényállást nem alkothat.</w:t>
      </w:r>
    </w:p>
    <w:p w:rsidR="00402CD4" w:rsidRDefault="00402CD4" w:rsidP="00402CD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Ezáltal a közterület-felügyelők hatáskörébe tartozó szankciók alkalmazásának lehetősége is szűkül. Sokszor a bírság kilátásba helyezése is megtette a kellő hatást.</w:t>
      </w:r>
    </w:p>
    <w:p w:rsidR="00402CD4" w:rsidRDefault="00402CD4" w:rsidP="00402CD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CD4" w:rsidRDefault="00402CD4" w:rsidP="00402CD4">
      <w:pPr>
        <w:jc w:val="center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402CD4" w:rsidRDefault="00402CD4" w:rsidP="00402CD4">
      <w:pPr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bCs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bCs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pStyle w:val="NormlWeb"/>
        <w:jc w:val="both"/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jc w:val="both"/>
        <w:rPr>
          <w:rFonts w:ascii="Times New Roman" w:hAnsi="Times New Roman"/>
          <w:sz w:val="24"/>
          <w:szCs w:val="24"/>
        </w:rPr>
      </w:pPr>
    </w:p>
    <w:p w:rsidR="00402CD4" w:rsidRDefault="00402CD4" w:rsidP="00402CD4">
      <w:pPr>
        <w:tabs>
          <w:tab w:val="center" w:pos="6521"/>
        </w:tabs>
      </w:pPr>
    </w:p>
    <w:p w:rsidR="000A7B27" w:rsidRDefault="000A7B27"/>
    <w:sectPr w:rsidR="000A7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A" w:rsidRDefault="00693C5A" w:rsidP="00C30B50">
      <w:r>
        <w:separator/>
      </w:r>
    </w:p>
  </w:endnote>
  <w:endnote w:type="continuationSeparator" w:id="0">
    <w:p w:rsidR="00693C5A" w:rsidRDefault="00693C5A" w:rsidP="00C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0927"/>
      <w:docPartObj>
        <w:docPartGallery w:val="Page Numbers (Bottom of Page)"/>
        <w:docPartUnique/>
      </w:docPartObj>
    </w:sdtPr>
    <w:sdtContent>
      <w:p w:rsidR="00C30B50" w:rsidRDefault="00C30B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24">
          <w:rPr>
            <w:noProof/>
          </w:rPr>
          <w:t>1</w:t>
        </w:r>
        <w:r>
          <w:fldChar w:fldCharType="end"/>
        </w:r>
      </w:p>
    </w:sdtContent>
  </w:sdt>
  <w:p w:rsidR="00C30B50" w:rsidRDefault="00C30B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A" w:rsidRDefault="00693C5A" w:rsidP="00C30B50">
      <w:r>
        <w:separator/>
      </w:r>
    </w:p>
  </w:footnote>
  <w:footnote w:type="continuationSeparator" w:id="0">
    <w:p w:rsidR="00693C5A" w:rsidRDefault="00693C5A" w:rsidP="00C3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D9"/>
    <w:rsid w:val="00073B21"/>
    <w:rsid w:val="000A7B27"/>
    <w:rsid w:val="00402CD4"/>
    <w:rsid w:val="005E3AD9"/>
    <w:rsid w:val="00693C5A"/>
    <w:rsid w:val="00933424"/>
    <w:rsid w:val="00C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2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02CD4"/>
    <w:pPr>
      <w:keepNext/>
      <w:spacing w:before="180" w:after="120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02CD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lWeb">
    <w:name w:val="Normal (Web)"/>
    <w:basedOn w:val="Norml"/>
    <w:uiPriority w:val="99"/>
    <w:semiHidden/>
    <w:unhideWhenUsed/>
    <w:rsid w:val="00402CD4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uiPriority w:val="99"/>
    <w:qFormat/>
    <w:rsid w:val="00402CD4"/>
    <w:pPr>
      <w:keepNext/>
      <w:widowControl w:val="0"/>
      <w:jc w:val="center"/>
    </w:pPr>
    <w:rPr>
      <w:rFonts w:ascii="Times New Roman" w:eastAsia="Times New Roman" w:hAnsi="Times New Roman"/>
      <w:b/>
      <w:caps/>
      <w:kern w:val="2"/>
      <w:sz w:val="24"/>
      <w:szCs w:val="20"/>
    </w:rPr>
  </w:style>
  <w:style w:type="character" w:customStyle="1" w:styleId="CmChar">
    <w:name w:val="Cím Char"/>
    <w:basedOn w:val="Bekezdsalapbettpusa"/>
    <w:link w:val="Cm"/>
    <w:uiPriority w:val="99"/>
    <w:rsid w:val="00402CD4"/>
    <w:rPr>
      <w:rFonts w:ascii="Times New Roman" w:eastAsia="Times New Roman" w:hAnsi="Times New Roman" w:cs="Times New Roman"/>
      <w:b/>
      <w:caps/>
      <w:kern w:val="2"/>
      <w:sz w:val="24"/>
      <w:szCs w:val="20"/>
      <w:lang w:eastAsia="ar-SA"/>
    </w:rPr>
  </w:style>
  <w:style w:type="paragraph" w:customStyle="1" w:styleId="lista1">
    <w:name w:val="lista1"/>
    <w:basedOn w:val="Norml"/>
    <w:uiPriority w:val="99"/>
    <w:rsid w:val="00402CD4"/>
    <w:pPr>
      <w:numPr>
        <w:ilvl w:val="2"/>
        <w:numId w:val="1"/>
      </w:numPr>
      <w:spacing w:before="60" w:after="60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402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02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30B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0B50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uiPriority w:val="99"/>
    <w:unhideWhenUsed/>
    <w:rsid w:val="00C30B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0B5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2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02CD4"/>
    <w:pPr>
      <w:keepNext/>
      <w:spacing w:before="180" w:after="120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02CD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lWeb">
    <w:name w:val="Normal (Web)"/>
    <w:basedOn w:val="Norml"/>
    <w:uiPriority w:val="99"/>
    <w:semiHidden/>
    <w:unhideWhenUsed/>
    <w:rsid w:val="00402CD4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uiPriority w:val="99"/>
    <w:qFormat/>
    <w:rsid w:val="00402CD4"/>
    <w:pPr>
      <w:keepNext/>
      <w:widowControl w:val="0"/>
      <w:jc w:val="center"/>
    </w:pPr>
    <w:rPr>
      <w:rFonts w:ascii="Times New Roman" w:eastAsia="Times New Roman" w:hAnsi="Times New Roman"/>
      <w:b/>
      <w:caps/>
      <w:kern w:val="2"/>
      <w:sz w:val="24"/>
      <w:szCs w:val="20"/>
    </w:rPr>
  </w:style>
  <w:style w:type="character" w:customStyle="1" w:styleId="CmChar">
    <w:name w:val="Cím Char"/>
    <w:basedOn w:val="Bekezdsalapbettpusa"/>
    <w:link w:val="Cm"/>
    <w:uiPriority w:val="99"/>
    <w:rsid w:val="00402CD4"/>
    <w:rPr>
      <w:rFonts w:ascii="Times New Roman" w:eastAsia="Times New Roman" w:hAnsi="Times New Roman" w:cs="Times New Roman"/>
      <w:b/>
      <w:caps/>
      <w:kern w:val="2"/>
      <w:sz w:val="24"/>
      <w:szCs w:val="20"/>
      <w:lang w:eastAsia="ar-SA"/>
    </w:rPr>
  </w:style>
  <w:style w:type="paragraph" w:customStyle="1" w:styleId="lista1">
    <w:name w:val="lista1"/>
    <w:basedOn w:val="Norml"/>
    <w:uiPriority w:val="99"/>
    <w:rsid w:val="00402CD4"/>
    <w:pPr>
      <w:numPr>
        <w:ilvl w:val="2"/>
        <w:numId w:val="1"/>
      </w:numPr>
      <w:spacing w:before="60" w:after="60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402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02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30B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0B50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uiPriority w:val="99"/>
    <w:unhideWhenUsed/>
    <w:rsid w:val="00C30B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0B5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3413</Characters>
  <Application>Microsoft Office Word</Application>
  <DocSecurity>0</DocSecurity>
  <Lines>28</Lines>
  <Paragraphs>7</Paragraphs>
  <ScaleCrop>false</ScaleCrop>
  <Company>tvonkph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Dr. Kórik Zsuzsa</cp:lastModifiedBy>
  <cp:revision>5</cp:revision>
  <dcterms:created xsi:type="dcterms:W3CDTF">2012-04-26T11:00:00Z</dcterms:created>
  <dcterms:modified xsi:type="dcterms:W3CDTF">2012-04-27T07:33:00Z</dcterms:modified>
</cp:coreProperties>
</file>