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E" w:rsidRPr="00A013F3" w:rsidRDefault="00C82B2E" w:rsidP="00C82B2E">
      <w:pPr>
        <w:jc w:val="center"/>
        <w:rPr>
          <w:b/>
          <w:color w:val="000000"/>
        </w:rPr>
      </w:pPr>
      <w:r w:rsidRPr="00A013F3">
        <w:rPr>
          <w:b/>
          <w:color w:val="000000"/>
        </w:rPr>
        <w:t>Tiszavasvári Város Önkormányzata Képviselő-testületének</w:t>
      </w:r>
    </w:p>
    <w:p w:rsidR="00C82B2E" w:rsidRPr="00A013F3" w:rsidRDefault="00C82B2E" w:rsidP="00C82B2E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Pr="00A013F3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A013F3">
        <w:rPr>
          <w:b/>
          <w:color w:val="000000"/>
        </w:rPr>
        <w:t>. (</w:t>
      </w:r>
      <w:r>
        <w:rPr>
          <w:b/>
          <w:color w:val="000000"/>
        </w:rPr>
        <w:t>I.27.</w:t>
      </w:r>
      <w:r w:rsidRPr="00A013F3">
        <w:rPr>
          <w:b/>
          <w:color w:val="000000"/>
        </w:rPr>
        <w:t>) önkormányzati rendelete</w:t>
      </w:r>
    </w:p>
    <w:p w:rsidR="00C82B2E" w:rsidRPr="00A013F3" w:rsidRDefault="00C82B2E" w:rsidP="00C82B2E">
      <w:pPr>
        <w:pStyle w:val="Cmsor2"/>
        <w:spacing w:before="0" w:after="0"/>
        <w:rPr>
          <w:color w:val="000000"/>
          <w:szCs w:val="24"/>
        </w:rPr>
      </w:pPr>
    </w:p>
    <w:p w:rsidR="00C82B2E" w:rsidRPr="00A013F3" w:rsidRDefault="00C82B2E" w:rsidP="00C82B2E">
      <w:pPr>
        <w:pStyle w:val="Cmsor2"/>
        <w:spacing w:before="0" w:after="0"/>
        <w:rPr>
          <w:color w:val="000000"/>
          <w:szCs w:val="24"/>
        </w:rPr>
      </w:pPr>
      <w:proofErr w:type="gramStart"/>
      <w:r w:rsidRPr="00A013F3">
        <w:rPr>
          <w:color w:val="000000"/>
          <w:szCs w:val="24"/>
        </w:rPr>
        <w:t>a</w:t>
      </w:r>
      <w:proofErr w:type="gramEnd"/>
      <w:r w:rsidRPr="00A013F3">
        <w:rPr>
          <w:color w:val="000000"/>
          <w:szCs w:val="24"/>
        </w:rPr>
        <w:t xml:space="preserve"> temetőkről és a temetkezési tevékenységekről szóló</w:t>
      </w:r>
      <w:r>
        <w:rPr>
          <w:color w:val="000000"/>
          <w:szCs w:val="24"/>
        </w:rPr>
        <w:t xml:space="preserve"> </w:t>
      </w:r>
      <w:r w:rsidRPr="00A013F3">
        <w:rPr>
          <w:color w:val="000000"/>
          <w:szCs w:val="24"/>
        </w:rPr>
        <w:t>4/2011. (II. 15.) önkormányzati rendelet módosításáról</w:t>
      </w:r>
    </w:p>
    <w:p w:rsidR="00C82B2E" w:rsidRPr="00A013F3" w:rsidRDefault="00C82B2E" w:rsidP="00C82B2E">
      <w:pPr>
        <w:rPr>
          <w:b/>
          <w:color w:val="000000"/>
        </w:rPr>
      </w:pPr>
    </w:p>
    <w:p w:rsidR="00C82B2E" w:rsidRPr="003B1E59" w:rsidRDefault="00C82B2E" w:rsidP="00C82B2E">
      <w:pPr>
        <w:jc w:val="both"/>
        <w:rPr>
          <w:szCs w:val="24"/>
        </w:rPr>
      </w:pPr>
      <w:r w:rsidRPr="00BC19CC">
        <w:rPr>
          <w:color w:val="000000"/>
          <w:szCs w:val="24"/>
        </w:rPr>
        <w:t>A temetőkről és a temetkezésről szóló módosított 1999. évi XLIII. törvény 40. §, 41. § (3) bekezdésében kapott felhatalmazás alapján, a</w:t>
      </w:r>
      <w:r>
        <w:rPr>
          <w:color w:val="000000"/>
          <w:szCs w:val="24"/>
        </w:rPr>
        <w:t xml:space="preserve">z Alaptörvény 32. cikk (1) bekezdés </w:t>
      </w:r>
      <w:proofErr w:type="gramStart"/>
      <w:r>
        <w:rPr>
          <w:color w:val="000000"/>
          <w:szCs w:val="24"/>
        </w:rPr>
        <w:t>a.</w:t>
      </w:r>
      <w:proofErr w:type="gramEnd"/>
      <w:r>
        <w:rPr>
          <w:color w:val="000000"/>
          <w:szCs w:val="24"/>
        </w:rPr>
        <w:t>) pontjában</w:t>
      </w:r>
      <w:r w:rsidRPr="00BC19CC">
        <w:rPr>
          <w:color w:val="000000"/>
          <w:szCs w:val="24"/>
        </w:rPr>
        <w:t xml:space="preserve"> meghatározott feladatkörében eljárva </w:t>
      </w:r>
      <w:r w:rsidRPr="00BC19CC">
        <w:rPr>
          <w:color w:val="000000"/>
          <w:szCs w:val="24"/>
        </w:rPr>
        <w:sym w:font="Symbol" w:char="F02D"/>
      </w:r>
      <w:r w:rsidRPr="00BC19CC">
        <w:rPr>
          <w:color w:val="000000"/>
          <w:szCs w:val="24"/>
        </w:rPr>
        <w:t xml:space="preserve"> </w:t>
      </w:r>
      <w:r w:rsidRPr="003B1E59">
        <w:rPr>
          <w:szCs w:val="24"/>
        </w:rPr>
        <w:t xml:space="preserve">a Szervezeti és Működési Szabályzatról szóló 35/2014.(XI.28.) rendelet 4. sz. melléklete 1. pont 24. alpontja által biztosított véleményezési jogkörében illetékes Pénzügyi Bizottság, valamint a temetőkről és a temetkezésről szóló 1999. évi XLIII. tv. 40. § (5) bekezdésében biztosított véleményezési jogkörében illetékes Országos Fogyasztóvédelmi Egyesület Szabolcs-Szatmár-Bereg Megyei Szervezete véleményének kikérésével </w:t>
      </w:r>
      <w:r w:rsidRPr="003B1E59">
        <w:rPr>
          <w:szCs w:val="24"/>
        </w:rPr>
        <w:sym w:font="Symbol" w:char="F02D"/>
      </w:r>
      <w:r w:rsidRPr="003B1E59">
        <w:rPr>
          <w:szCs w:val="24"/>
        </w:rPr>
        <w:t xml:space="preserve"> a következőket rendeli el:</w:t>
      </w:r>
    </w:p>
    <w:p w:rsidR="00C82B2E" w:rsidRDefault="00C82B2E" w:rsidP="00C82B2E">
      <w:pPr>
        <w:pStyle w:val="Cm"/>
        <w:rPr>
          <w:color w:val="000000"/>
          <w:szCs w:val="24"/>
        </w:rPr>
      </w:pPr>
    </w:p>
    <w:p w:rsidR="00C82B2E" w:rsidRDefault="00C82B2E" w:rsidP="00C82B2E">
      <w:pPr>
        <w:ind w:right="-141"/>
        <w:jc w:val="both"/>
      </w:pPr>
      <w:r>
        <w:rPr>
          <w:b/>
        </w:rPr>
        <w:t xml:space="preserve"> </w:t>
      </w:r>
      <w:r>
        <w:rPr>
          <w:szCs w:val="24"/>
        </w:rPr>
        <w:t>1.§ A temetőkről és a temetkezési tevékenységekről szóló 4/2011. (II.</w:t>
      </w:r>
      <w:r w:rsidR="001F52A8">
        <w:rPr>
          <w:szCs w:val="24"/>
        </w:rPr>
        <w:t>1</w:t>
      </w:r>
      <w:r>
        <w:rPr>
          <w:szCs w:val="24"/>
        </w:rPr>
        <w:t>5.) önkormányzati rendelet 11.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az alábbi (5) és (6) bekezdésekkel egészül ki:</w:t>
      </w:r>
    </w:p>
    <w:p w:rsidR="00C82B2E" w:rsidRDefault="00C82B2E" w:rsidP="00C82B2E">
      <w:pPr>
        <w:pStyle w:val="NormlWeb"/>
        <w:jc w:val="both"/>
      </w:pPr>
      <w:r>
        <w:t>„(5) Temetkezési szolgáltatások alatt a temetőkről és a temetkezésről szóló törvényben temetkezési szolgáltatási tevékenységként meghatározott tevékenységek értendők.</w:t>
      </w:r>
    </w:p>
    <w:p w:rsidR="00C82B2E" w:rsidRPr="009138B4" w:rsidRDefault="00C82B2E" w:rsidP="00C82B2E">
      <w:pPr>
        <w:pStyle w:val="NormlWeb"/>
        <w:jc w:val="both"/>
      </w:pPr>
      <w:r>
        <w:t xml:space="preserve">(6) Az (5) bekezdésben megjelölt temetkezési szolgáltatások közül a temetőn belüli, az elhunyt hűtésével, ravatalozásával, a temetőben erre a célra rendszeresített szállító járművön történő szállításával, továbbá a hamvaknak az erre szolgáló berendezéssel történő szórásával, urnaelhelyezéssel, sírásással, sírhelynyitással, </w:t>
      </w:r>
      <w:proofErr w:type="spellStart"/>
      <w:r>
        <w:t>sírbahelyezéssel</w:t>
      </w:r>
      <w:proofErr w:type="spellEnd"/>
      <w:r>
        <w:t>, visszahantolással, újratemetéssel és exhumálással kapcsolatos feladatok ellátására az Üzemeltető szakszemélyzetének és berendezésének igénybevétele kötelező. Ezek az Üzemeltető által biztosított szolgáltatások, amelyre vonatkozó díjtételeket a rendelet 2. melléklete tartalmazza.</w:t>
      </w:r>
    </w:p>
    <w:p w:rsidR="00C82B2E" w:rsidRPr="009138B4" w:rsidRDefault="00C82B2E" w:rsidP="00C82B2E">
      <w:pPr>
        <w:pStyle w:val="Cmsor2"/>
        <w:numPr>
          <w:ilvl w:val="0"/>
          <w:numId w:val="1"/>
        </w:numPr>
        <w:spacing w:before="0" w:after="0"/>
        <w:jc w:val="both"/>
        <w:rPr>
          <w:b w:val="0"/>
          <w:color w:val="000000"/>
          <w:szCs w:val="24"/>
        </w:rPr>
      </w:pPr>
      <w:r>
        <w:rPr>
          <w:b w:val="0"/>
        </w:rPr>
        <w:t xml:space="preserve">§ </w:t>
      </w:r>
      <w:r w:rsidRPr="00C57B08">
        <w:rPr>
          <w:b w:val="0"/>
        </w:rPr>
        <w:t xml:space="preserve">A </w:t>
      </w:r>
      <w:r w:rsidRPr="00C57B08">
        <w:rPr>
          <w:b w:val="0"/>
          <w:szCs w:val="24"/>
        </w:rPr>
        <w:t>temetőkről és a temetkezési tevékenységekről szóló 4</w:t>
      </w:r>
      <w:r>
        <w:rPr>
          <w:b w:val="0"/>
          <w:szCs w:val="24"/>
        </w:rPr>
        <w:t>/2011. (II. 15.) önkormányzati</w:t>
      </w:r>
    </w:p>
    <w:p w:rsidR="00C82B2E" w:rsidRPr="00C57B08" w:rsidRDefault="00C82B2E" w:rsidP="00C82B2E">
      <w:pPr>
        <w:pStyle w:val="Cmsor2"/>
        <w:spacing w:before="0" w:after="0"/>
        <w:jc w:val="both"/>
        <w:rPr>
          <w:b w:val="0"/>
          <w:color w:val="000000"/>
          <w:szCs w:val="24"/>
        </w:rPr>
      </w:pPr>
      <w:proofErr w:type="gramStart"/>
      <w:r w:rsidRPr="00C57B08">
        <w:rPr>
          <w:b w:val="0"/>
          <w:szCs w:val="24"/>
        </w:rPr>
        <w:t>rendelet</w:t>
      </w:r>
      <w:proofErr w:type="gramEnd"/>
      <w:r>
        <w:rPr>
          <w:b w:val="0"/>
          <w:szCs w:val="24"/>
        </w:rPr>
        <w:t xml:space="preserve"> e rendelet 1. mellékletét képező 2</w:t>
      </w:r>
      <w:r w:rsidRPr="00C57B08">
        <w:rPr>
          <w:b w:val="0"/>
        </w:rPr>
        <w:t>. melléklet</w:t>
      </w:r>
      <w:r>
        <w:rPr>
          <w:b w:val="0"/>
        </w:rPr>
        <w:t>t</w:t>
      </w:r>
      <w:r w:rsidRPr="00C57B08">
        <w:rPr>
          <w:b w:val="0"/>
        </w:rPr>
        <w:t>e</w:t>
      </w:r>
      <w:r>
        <w:rPr>
          <w:b w:val="0"/>
        </w:rPr>
        <w:t xml:space="preserve">l egészül ki. </w:t>
      </w:r>
    </w:p>
    <w:p w:rsidR="00C82B2E" w:rsidRDefault="00C82B2E" w:rsidP="00C82B2E">
      <w:pPr>
        <w:jc w:val="both"/>
      </w:pPr>
    </w:p>
    <w:p w:rsidR="00C82B2E" w:rsidRPr="007973BA" w:rsidRDefault="00C82B2E" w:rsidP="00C82B2E">
      <w:pPr>
        <w:jc w:val="both"/>
      </w:pPr>
      <w:r>
        <w:t>3</w:t>
      </w:r>
      <w:r w:rsidRPr="007973BA">
        <w:t>.§ Ez a rendelet 2017. március 1. napján lép hatályba.</w:t>
      </w:r>
    </w:p>
    <w:p w:rsidR="00C82B2E" w:rsidRDefault="00C82B2E" w:rsidP="00C82B2E">
      <w:pPr>
        <w:jc w:val="both"/>
        <w:rPr>
          <w:color w:val="000000"/>
        </w:rPr>
      </w:pPr>
    </w:p>
    <w:p w:rsidR="00C82B2E" w:rsidRDefault="00C82B2E" w:rsidP="00C82B2E">
      <w:pPr>
        <w:jc w:val="both"/>
        <w:rPr>
          <w:color w:val="000000"/>
        </w:rPr>
      </w:pPr>
    </w:p>
    <w:p w:rsidR="00C82B2E" w:rsidRPr="00564A7C" w:rsidRDefault="00C82B2E" w:rsidP="00C82B2E">
      <w:pPr>
        <w:jc w:val="both"/>
        <w:rPr>
          <w:color w:val="000000"/>
        </w:rPr>
      </w:pPr>
      <w:r>
        <w:rPr>
          <w:color w:val="000000"/>
        </w:rPr>
        <w:t>Tiszavasvári, 2017</w:t>
      </w:r>
      <w:r w:rsidRPr="00564A7C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január 26.</w:t>
      </w:r>
    </w:p>
    <w:p w:rsidR="00C82B2E" w:rsidRDefault="00C82B2E" w:rsidP="00C82B2E">
      <w:pPr>
        <w:jc w:val="both"/>
        <w:rPr>
          <w:color w:val="000000"/>
        </w:rPr>
      </w:pPr>
    </w:p>
    <w:p w:rsidR="00C82B2E" w:rsidRDefault="00C82B2E" w:rsidP="00C82B2E">
      <w:pPr>
        <w:jc w:val="both"/>
        <w:rPr>
          <w:color w:val="000000"/>
        </w:rPr>
      </w:pPr>
    </w:p>
    <w:p w:rsidR="00C82B2E" w:rsidRDefault="00C82B2E" w:rsidP="00C82B2E">
      <w:pPr>
        <w:jc w:val="both"/>
        <w:rPr>
          <w:color w:val="000000"/>
        </w:rPr>
      </w:pPr>
    </w:p>
    <w:p w:rsidR="00C82B2E" w:rsidRPr="00564A7C" w:rsidRDefault="00C82B2E" w:rsidP="00C82B2E">
      <w:pPr>
        <w:jc w:val="both"/>
        <w:rPr>
          <w:color w:val="000000"/>
        </w:rPr>
      </w:pPr>
    </w:p>
    <w:p w:rsidR="00C82B2E" w:rsidRPr="00564A7C" w:rsidRDefault="00C82B2E" w:rsidP="00C82B2E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 w:rsidRPr="00564A7C">
        <w:rPr>
          <w:b/>
          <w:color w:val="000000"/>
        </w:rPr>
        <w:tab/>
        <w:t>Dr. Fülöp Erik</w:t>
      </w:r>
      <w:r w:rsidRPr="00564A7C">
        <w:rPr>
          <w:b/>
          <w:color w:val="000000"/>
        </w:rPr>
        <w:tab/>
        <w:t>Badics Ildikó</w:t>
      </w:r>
    </w:p>
    <w:p w:rsidR="00C82B2E" w:rsidRPr="00564A7C" w:rsidRDefault="00C82B2E" w:rsidP="00C82B2E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 w:rsidRPr="00564A7C">
        <w:rPr>
          <w:b/>
          <w:color w:val="000000"/>
        </w:rPr>
        <w:t xml:space="preserve">  </w:t>
      </w:r>
      <w:r w:rsidRPr="00564A7C">
        <w:rPr>
          <w:b/>
          <w:color w:val="000000"/>
        </w:rPr>
        <w:tab/>
      </w:r>
      <w:proofErr w:type="gramStart"/>
      <w:r w:rsidRPr="00564A7C">
        <w:rPr>
          <w:b/>
          <w:color w:val="000000"/>
        </w:rPr>
        <w:t>polgármester</w:t>
      </w:r>
      <w:proofErr w:type="gramEnd"/>
      <w:r w:rsidRPr="00564A7C">
        <w:rPr>
          <w:b/>
          <w:color w:val="000000"/>
        </w:rPr>
        <w:t xml:space="preserve"> </w:t>
      </w:r>
      <w:r w:rsidRPr="00564A7C">
        <w:rPr>
          <w:b/>
          <w:color w:val="000000"/>
        </w:rPr>
        <w:tab/>
        <w:t xml:space="preserve"> jegyző</w:t>
      </w:r>
    </w:p>
    <w:p w:rsidR="00C82B2E" w:rsidRDefault="00C82B2E" w:rsidP="00C82B2E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C82B2E" w:rsidRPr="00564A7C" w:rsidRDefault="00C82B2E" w:rsidP="00C82B2E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C82B2E" w:rsidRPr="008F75B2" w:rsidRDefault="00C82B2E" w:rsidP="00C82B2E">
      <w:pPr>
        <w:tabs>
          <w:tab w:val="left" w:pos="567"/>
          <w:tab w:val="left" w:pos="5954"/>
          <w:tab w:val="left" w:pos="6663"/>
        </w:tabs>
        <w:rPr>
          <w:color w:val="000000"/>
        </w:rPr>
      </w:pPr>
      <w:r w:rsidRPr="008F75B2">
        <w:rPr>
          <w:color w:val="000000"/>
        </w:rPr>
        <w:t xml:space="preserve">A rendelet kihirdetve: 2017. </w:t>
      </w:r>
      <w:r>
        <w:rPr>
          <w:color w:val="000000"/>
        </w:rPr>
        <w:t>január 27.</w:t>
      </w:r>
    </w:p>
    <w:p w:rsidR="00C82B2E" w:rsidRDefault="00C82B2E" w:rsidP="00C82B2E">
      <w:pPr>
        <w:tabs>
          <w:tab w:val="left" w:pos="567"/>
          <w:tab w:val="left" w:pos="5954"/>
          <w:tab w:val="left" w:pos="6663"/>
        </w:tabs>
        <w:rPr>
          <w:color w:val="000000"/>
        </w:rPr>
      </w:pPr>
    </w:p>
    <w:p w:rsidR="00C82B2E" w:rsidRDefault="00C82B2E" w:rsidP="00C82B2E">
      <w:pPr>
        <w:tabs>
          <w:tab w:val="left" w:pos="567"/>
          <w:tab w:val="left" w:pos="5954"/>
          <w:tab w:val="left" w:pos="6663"/>
        </w:tabs>
        <w:rPr>
          <w:color w:val="000000"/>
        </w:rPr>
      </w:pPr>
    </w:p>
    <w:p w:rsidR="00C82B2E" w:rsidRPr="008F75B2" w:rsidRDefault="00C82B2E" w:rsidP="00C82B2E">
      <w:pPr>
        <w:tabs>
          <w:tab w:val="left" w:pos="567"/>
          <w:tab w:val="left" w:pos="5954"/>
          <w:tab w:val="left" w:pos="6663"/>
        </w:tabs>
        <w:rPr>
          <w:color w:val="000000"/>
        </w:rPr>
      </w:pPr>
    </w:p>
    <w:p w:rsidR="00C82B2E" w:rsidRPr="00564A7C" w:rsidRDefault="00C82B2E" w:rsidP="00C82B2E">
      <w:pPr>
        <w:tabs>
          <w:tab w:val="center" w:pos="4536"/>
          <w:tab w:val="left" w:pos="5954"/>
          <w:tab w:val="left" w:pos="6663"/>
        </w:tabs>
        <w:rPr>
          <w:b/>
          <w:color w:val="000000"/>
        </w:rPr>
      </w:pPr>
      <w:r w:rsidRPr="00564A7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64A7C">
        <w:rPr>
          <w:b/>
          <w:color w:val="000000"/>
        </w:rPr>
        <w:t>Badics Ildikó</w:t>
      </w:r>
    </w:p>
    <w:p w:rsidR="00C82B2E" w:rsidRDefault="00C82B2E" w:rsidP="00C82B2E">
      <w:pPr>
        <w:tabs>
          <w:tab w:val="center" w:pos="4536"/>
        </w:tabs>
        <w:rPr>
          <w:b/>
          <w:color w:val="000000"/>
        </w:rPr>
      </w:pPr>
      <w:r w:rsidRPr="00564A7C">
        <w:rPr>
          <w:b/>
          <w:color w:val="000000"/>
        </w:rPr>
        <w:t xml:space="preserve">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</w:t>
      </w:r>
      <w:r w:rsidRPr="00564A7C">
        <w:rPr>
          <w:b/>
          <w:color w:val="000000"/>
        </w:rPr>
        <w:t xml:space="preserve"> j e g y z ő</w:t>
      </w:r>
    </w:p>
    <w:p w:rsidR="00C82B2E" w:rsidRDefault="00C82B2E" w:rsidP="00C82B2E">
      <w:pPr>
        <w:tabs>
          <w:tab w:val="center" w:pos="4536"/>
        </w:tabs>
        <w:jc w:val="right"/>
        <w:rPr>
          <w:color w:val="000000"/>
        </w:rPr>
      </w:pPr>
    </w:p>
    <w:p w:rsidR="00C82B2E" w:rsidRDefault="00C82B2E" w:rsidP="00C82B2E">
      <w:pPr>
        <w:tabs>
          <w:tab w:val="center" w:pos="4536"/>
        </w:tabs>
        <w:jc w:val="right"/>
        <w:rPr>
          <w:color w:val="000000"/>
        </w:rPr>
      </w:pPr>
    </w:p>
    <w:p w:rsidR="00C82B2E" w:rsidRPr="00BE3A79" w:rsidRDefault="00C82B2E" w:rsidP="00C82B2E">
      <w:pPr>
        <w:tabs>
          <w:tab w:val="center" w:pos="4536"/>
        </w:tabs>
        <w:jc w:val="right"/>
        <w:rPr>
          <w:color w:val="000000"/>
        </w:rPr>
      </w:pPr>
      <w:r>
        <w:rPr>
          <w:color w:val="000000"/>
        </w:rPr>
        <w:t>1</w:t>
      </w:r>
      <w:r w:rsidRPr="00BE3A79">
        <w:rPr>
          <w:color w:val="000000"/>
        </w:rPr>
        <w:t xml:space="preserve">. </w:t>
      </w:r>
      <w:r>
        <w:rPr>
          <w:color w:val="000000"/>
        </w:rPr>
        <w:t>m</w:t>
      </w:r>
      <w:r w:rsidRPr="00BE3A79">
        <w:rPr>
          <w:color w:val="000000"/>
        </w:rPr>
        <w:t xml:space="preserve">elléklet a </w:t>
      </w:r>
      <w:r>
        <w:rPr>
          <w:color w:val="000000"/>
        </w:rPr>
        <w:t>1</w:t>
      </w:r>
      <w:r w:rsidRPr="00BE3A79">
        <w:rPr>
          <w:color w:val="000000"/>
        </w:rPr>
        <w:t>/201</w:t>
      </w:r>
      <w:r>
        <w:rPr>
          <w:color w:val="000000"/>
        </w:rPr>
        <w:t>7. (</w:t>
      </w:r>
      <w:r>
        <w:rPr>
          <w:color w:val="000000"/>
        </w:rPr>
        <w:t>I.27</w:t>
      </w:r>
      <w:r w:rsidRPr="00BE3A79">
        <w:rPr>
          <w:color w:val="000000"/>
        </w:rPr>
        <w:t>.) önkormányzati rendelethez</w:t>
      </w:r>
    </w:p>
    <w:p w:rsidR="00C82B2E" w:rsidRPr="00BC19CC" w:rsidRDefault="00C82B2E" w:rsidP="00C82B2E">
      <w:pPr>
        <w:pStyle w:val="Cm"/>
        <w:ind w:left="360"/>
        <w:jc w:val="both"/>
        <w:rPr>
          <w:color w:val="000000"/>
          <w:szCs w:val="24"/>
        </w:rPr>
      </w:pPr>
    </w:p>
    <w:p w:rsidR="00C82B2E" w:rsidRDefault="00C82B2E" w:rsidP="00C82B2E">
      <w:pPr>
        <w:pStyle w:val="Cmsor2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BC19CC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számú melléklet</w:t>
      </w:r>
    </w:p>
    <w:p w:rsidR="00C82B2E" w:rsidRPr="00C82B2E" w:rsidRDefault="00C82B2E" w:rsidP="00C82B2E"/>
    <w:p w:rsidR="00C82B2E" w:rsidRPr="00BC19CC" w:rsidRDefault="00C82B2E" w:rsidP="00C82B2E">
      <w:pPr>
        <w:pStyle w:val="Cm"/>
        <w:rPr>
          <w:color w:val="000000"/>
          <w:szCs w:val="24"/>
        </w:rPr>
      </w:pPr>
      <w:r w:rsidRPr="00BC19CC">
        <w:rPr>
          <w:color w:val="000000"/>
          <w:szCs w:val="24"/>
        </w:rPr>
        <w:t>Tiszavasvári Város Önkormányzata</w:t>
      </w:r>
    </w:p>
    <w:p w:rsidR="00C82B2E" w:rsidRPr="00BC19CC" w:rsidRDefault="00C82B2E" w:rsidP="00C82B2E">
      <w:pPr>
        <w:pStyle w:val="Cm"/>
        <w:rPr>
          <w:color w:val="000000"/>
          <w:szCs w:val="24"/>
        </w:rPr>
      </w:pPr>
      <w:r w:rsidRPr="00BC19CC">
        <w:rPr>
          <w:color w:val="000000"/>
          <w:szCs w:val="24"/>
        </w:rPr>
        <w:t>KÉPVISELŐ-TESTÜLETE</w:t>
      </w:r>
    </w:p>
    <w:p w:rsidR="00C82B2E" w:rsidRPr="00BC19CC" w:rsidRDefault="00C82B2E" w:rsidP="00C82B2E">
      <w:pPr>
        <w:pStyle w:val="Cmsor2"/>
        <w:spacing w:before="0" w:after="0"/>
        <w:rPr>
          <w:color w:val="000000"/>
          <w:szCs w:val="24"/>
        </w:rPr>
      </w:pPr>
      <w:proofErr w:type="gramStart"/>
      <w:r w:rsidRPr="00BC19CC">
        <w:rPr>
          <w:color w:val="000000"/>
          <w:szCs w:val="24"/>
        </w:rPr>
        <w:t>a</w:t>
      </w:r>
      <w:proofErr w:type="gramEnd"/>
      <w:r w:rsidRPr="00BC19CC">
        <w:rPr>
          <w:color w:val="000000"/>
          <w:szCs w:val="24"/>
        </w:rPr>
        <w:t xml:space="preserve"> temetőkről és a temetkezési tevékenységekről szóló</w:t>
      </w:r>
      <w:r w:rsidR="001F52A8">
        <w:rPr>
          <w:color w:val="000000"/>
          <w:szCs w:val="24"/>
        </w:rPr>
        <w:t xml:space="preserve"> </w:t>
      </w:r>
      <w:r w:rsidRPr="00BC19CC">
        <w:rPr>
          <w:color w:val="000000"/>
          <w:szCs w:val="24"/>
        </w:rPr>
        <w:t>4/2011. (</w:t>
      </w:r>
      <w:r>
        <w:rPr>
          <w:color w:val="000000"/>
          <w:szCs w:val="24"/>
        </w:rPr>
        <w:t>II</w:t>
      </w:r>
      <w:r w:rsidRPr="00BC19CC">
        <w:rPr>
          <w:color w:val="000000"/>
          <w:szCs w:val="24"/>
        </w:rPr>
        <w:t>.1</w:t>
      </w:r>
      <w:r>
        <w:rPr>
          <w:color w:val="000000"/>
          <w:szCs w:val="24"/>
        </w:rPr>
        <w:t>5.) önkormányzati rendeletéhez</w:t>
      </w:r>
    </w:p>
    <w:p w:rsidR="00C82B2E" w:rsidRPr="00BC19CC" w:rsidRDefault="00C82B2E" w:rsidP="00C82B2E">
      <w:pPr>
        <w:pStyle w:val="Cmsor2"/>
        <w:spacing w:before="0" w:after="0"/>
        <w:rPr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 xml:space="preserve">A köztemetői létesítmények, illetve az üzemeltető által biztosított szolgáltatások igénybevételéért a temetkezési szolgáltatók által fizetendő díjak (az árak az </w:t>
      </w:r>
      <w:proofErr w:type="spellStart"/>
      <w:r>
        <w:rPr>
          <w:rFonts w:eastAsia="Symbol" w:cs="Symbol"/>
          <w:b/>
          <w:bCs/>
          <w:color w:val="000000"/>
          <w:szCs w:val="24"/>
        </w:rPr>
        <w:t>ÁFÁt</w:t>
      </w:r>
      <w:proofErr w:type="spellEnd"/>
      <w:r>
        <w:rPr>
          <w:rFonts w:eastAsia="Symbol" w:cs="Symbol"/>
          <w:b/>
          <w:bCs/>
          <w:color w:val="000000"/>
          <w:szCs w:val="24"/>
        </w:rPr>
        <w:t xml:space="preserve"> tartalmazzák)</w:t>
      </w: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6285"/>
        <w:gridCol w:w="1305"/>
      </w:tblGrid>
      <w:tr w:rsidR="00C82B2E" w:rsidTr="00851C63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proofErr w:type="spellStart"/>
            <w:r>
              <w:rPr>
                <w:b/>
                <w:bCs/>
                <w:sz w:val="28"/>
                <w:szCs w:val="28"/>
              </w:rPr>
              <w:t>Ssz</w:t>
            </w:r>
            <w:proofErr w:type="spellEnd"/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b/>
                <w:bCs/>
                <w:sz w:val="28"/>
                <w:szCs w:val="28"/>
              </w:rPr>
              <w:t>Szolgáltatás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b/>
                <w:bCs/>
                <w:sz w:val="28"/>
                <w:szCs w:val="28"/>
              </w:rPr>
              <w:t>Díj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Elhunyt átvétele munkaidőben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19 050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Elhunyt átvétele munkaidőn kívül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31 750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Halott hűtése (Ft/nap)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2 159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Ravatalozó használati díj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29 210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color w:val="000000"/>
                <w:sz w:val="24"/>
                <w:szCs w:val="24"/>
              </w:rPr>
              <w:t>Elhunyt temetőben erre a célra rendszeresített szállító járművön történő szállítása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17 780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Urnaelhelyezés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Sírásás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35 000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proofErr w:type="gramStart"/>
            <w:r>
              <w:rPr>
                <w:sz w:val="24"/>
                <w:szCs w:val="24"/>
              </w:rPr>
              <w:t>Sírhely nyitás</w:t>
            </w:r>
            <w:proofErr w:type="gramEnd"/>
            <w:r>
              <w:rPr>
                <w:sz w:val="24"/>
                <w:szCs w:val="24"/>
              </w:rPr>
              <w:t xml:space="preserve"> 1 személyes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proofErr w:type="gramStart"/>
            <w:r>
              <w:rPr>
                <w:sz w:val="24"/>
                <w:szCs w:val="24"/>
              </w:rPr>
              <w:t>Sírhely nyitás</w:t>
            </w:r>
            <w:proofErr w:type="gramEnd"/>
            <w:r>
              <w:rPr>
                <w:sz w:val="24"/>
                <w:szCs w:val="24"/>
              </w:rPr>
              <w:t xml:space="preserve"> 2 személyes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20 000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Sírba leengedés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2 280</w:t>
            </w:r>
          </w:p>
        </w:tc>
      </w:tr>
      <w:tr w:rsidR="00C82B2E" w:rsidTr="00851C6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2B2E" w:rsidRDefault="00C82B2E" w:rsidP="00851C63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Visszahantolás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B2E" w:rsidRDefault="00C82B2E" w:rsidP="00851C63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12 000</w:t>
            </w:r>
          </w:p>
        </w:tc>
      </w:tr>
    </w:tbl>
    <w:p w:rsidR="00C82B2E" w:rsidRDefault="00C82B2E" w:rsidP="00C82B2E">
      <w:pPr>
        <w:tabs>
          <w:tab w:val="center" w:pos="4536"/>
        </w:tabs>
        <w:jc w:val="both"/>
        <w:rPr>
          <w:kern w:val="2"/>
          <w:sz w:val="20"/>
          <w:lang w:eastAsia="zh-CN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</w:pPr>
      <w:r>
        <w:rPr>
          <w:rFonts w:eastAsia="Symbol" w:cs="Symbol"/>
          <w:b/>
          <w:bCs/>
          <w:color w:val="000000"/>
          <w:szCs w:val="24"/>
        </w:rPr>
        <w:t xml:space="preserve">A temetőkről és a temetkezési tevékenységekről szóló 4/2011. (II.15.) önkormányzati rendelet módosításáról szóló </w:t>
      </w:r>
      <w:r w:rsidR="001F52A8">
        <w:rPr>
          <w:rFonts w:eastAsia="Symbol" w:cs="Symbol"/>
          <w:b/>
          <w:bCs/>
          <w:color w:val="000000"/>
          <w:szCs w:val="24"/>
        </w:rPr>
        <w:t>1</w:t>
      </w:r>
      <w:r>
        <w:rPr>
          <w:rFonts w:eastAsia="Symbol" w:cs="Symbol"/>
          <w:b/>
          <w:bCs/>
          <w:color w:val="000000"/>
          <w:szCs w:val="24"/>
        </w:rPr>
        <w:t>/2017. (I. 2</w:t>
      </w:r>
      <w:r w:rsidR="001F52A8">
        <w:rPr>
          <w:rFonts w:eastAsia="Symbol" w:cs="Symbol"/>
          <w:b/>
          <w:bCs/>
          <w:color w:val="000000"/>
          <w:szCs w:val="24"/>
        </w:rPr>
        <w:t>7</w:t>
      </w:r>
      <w:r>
        <w:rPr>
          <w:rFonts w:eastAsia="Symbol" w:cs="Symbol"/>
          <w:b/>
          <w:bCs/>
          <w:color w:val="000000"/>
          <w:szCs w:val="24"/>
        </w:rPr>
        <w:t>.) önkormányzati rendelet indokolása</w:t>
      </w:r>
      <w:r>
        <w:rPr>
          <w:rFonts w:eastAsia="Symbol" w:cs="Symbol"/>
          <w:color w:val="000000"/>
          <w:szCs w:val="24"/>
        </w:rPr>
        <w:t xml:space="preserve"> </w:t>
      </w:r>
    </w:p>
    <w:p w:rsidR="00C82B2E" w:rsidRDefault="00C82B2E" w:rsidP="00C82B2E">
      <w:pPr>
        <w:tabs>
          <w:tab w:val="center" w:pos="4536"/>
        </w:tabs>
        <w:rPr>
          <w:rFonts w:eastAsia="Symbol" w:cs="Symbol"/>
          <w:szCs w:val="24"/>
        </w:rPr>
      </w:pPr>
    </w:p>
    <w:p w:rsidR="00C82B2E" w:rsidRDefault="00C82B2E" w:rsidP="00C82B2E">
      <w:pPr>
        <w:tabs>
          <w:tab w:val="center" w:pos="4536"/>
        </w:tabs>
        <w:rPr>
          <w:rFonts w:eastAsia="Symbol" w:cs="Symbol"/>
          <w:szCs w:val="24"/>
        </w:rPr>
      </w:pPr>
    </w:p>
    <w:p w:rsidR="00C82B2E" w:rsidRDefault="00C82B2E" w:rsidP="00C82B2E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>1. Általános indokolás</w:t>
      </w:r>
    </w:p>
    <w:p w:rsidR="00C82B2E" w:rsidRDefault="00C82B2E" w:rsidP="00C82B2E">
      <w:pPr>
        <w:tabs>
          <w:tab w:val="center" w:pos="4536"/>
        </w:tabs>
        <w:rPr>
          <w:rFonts w:eastAsia="Symbol" w:cs="Symbol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sz w:val="20"/>
        </w:rPr>
      </w:pPr>
      <w:r>
        <w:rPr>
          <w:rFonts w:eastAsia="Symbol" w:cs="Symbol"/>
          <w:color w:val="000000"/>
          <w:szCs w:val="24"/>
        </w:rPr>
        <w:t>A módosítást az indokolta, hogy egyre több önkormányzat esetében, ahol a helyi köztemetőt önkormányzati tulajdonú cég üzemelteti, ott a temetkezési szolgáltatási tevékenységet is az üzemeltető cég látja el. Ennek fő oka, hogy egy köztemetőt önmagában nem lehet nyereségesen üzemeltetni állami támogatás nélkül. Az üzemeltetés költségeit az általános gyakorlat szerint a temetkezési szolgáltatás bevételeiből finanszírozzák. Ennek megfelelően magáncégek temető üzemeltetésre csak olyan esetekben szerződnek, ha egyúttal a temetkezési szolgáltatást is végzik az adott településen, ill. ha az üzemeltetéssel kapcsolatos kiadásait más településeken nyújtott szolgáltatásai bevételeiből fedezni tudják.</w:t>
      </w:r>
    </w:p>
    <w:p w:rsidR="00C82B2E" w:rsidRDefault="00C82B2E" w:rsidP="00C82B2E">
      <w:pPr>
        <w:tabs>
          <w:tab w:val="center" w:pos="4536"/>
        </w:tabs>
        <w:jc w:val="both"/>
      </w:pPr>
    </w:p>
    <w:p w:rsidR="00C82B2E" w:rsidRDefault="00C82B2E" w:rsidP="00C82B2E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Tiszavasváriban a temetkezési szolgáltatási tevékenységet jelenleg az üzemeltetői feladatokat is ellátó </w:t>
      </w:r>
      <w:proofErr w:type="spellStart"/>
      <w:r>
        <w:rPr>
          <w:rFonts w:eastAsia="Symbol" w:cs="Symbol"/>
          <w:color w:val="000000"/>
          <w:szCs w:val="24"/>
        </w:rPr>
        <w:t>Tiva-Szolg</w:t>
      </w:r>
      <w:proofErr w:type="spellEnd"/>
      <w:r>
        <w:rPr>
          <w:rFonts w:eastAsia="Symbol" w:cs="Symbol"/>
          <w:color w:val="000000"/>
          <w:szCs w:val="24"/>
        </w:rPr>
        <w:t xml:space="preserve"> Nonprofit Kft. (Továbbiakban Kft.) biztosítja. A két tevékenység elkülönül egymástól, hiszen a temető üzemeltetése a temető tulajdonossal kötött Kegyeleti közszolgáltatási szerződés birtokában végezhető, a temetkezési szolgáltatásokat pedig hatósági engedély birtokában lehet nyújtani. A Kft. mindkettővel rendelkezik. Ha külső szolgáltató cégek saját személyi állományukkal és eszközparkjukkal temetkezési szolgáltatást fognak végezni a Tiszavasvári köztemetőben, az várhatóan munkahelyek megszűnésével jár a Kft. esetében és veszélyezteti a köztemető üzemeltetésének finanszírozhatóságát.</w:t>
      </w:r>
    </w:p>
    <w:p w:rsidR="00C82B2E" w:rsidRDefault="00C82B2E" w:rsidP="00C82B2E">
      <w:pPr>
        <w:tabs>
          <w:tab w:val="center" w:pos="4536"/>
        </w:tabs>
        <w:jc w:val="both"/>
      </w:pPr>
    </w:p>
    <w:p w:rsidR="00C82B2E" w:rsidRDefault="00C82B2E" w:rsidP="00C82B2E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Jelenleg a temetések lebonyolítása egy kézben van, az elhunytak hozzátartozói minden szükséges ügyintézést egy helyen, azonnal el tudnak végezni. A Kft. temetkezéssel kapcsolatos árjegyzéke megtekinthető a </w:t>
      </w:r>
      <w:proofErr w:type="spellStart"/>
      <w:r>
        <w:rPr>
          <w:rFonts w:eastAsia="Symbol" w:cs="Symbol"/>
          <w:color w:val="000000"/>
          <w:szCs w:val="24"/>
        </w:rPr>
        <w:t>temetésfelvételi</w:t>
      </w:r>
      <w:proofErr w:type="spellEnd"/>
      <w:r>
        <w:rPr>
          <w:rFonts w:eastAsia="Symbol" w:cs="Symbol"/>
          <w:color w:val="000000"/>
          <w:szCs w:val="24"/>
        </w:rPr>
        <w:t xml:space="preserve"> irodában, rejtett költségeket nem tartalmaz, alkalmazott árai versenytársaitól 10-20%-kal elmaradnak, mivel a Kft. nonprofit cég, így nem lehet célja a profitmaximalizálás, a szolgáltatási tevékenységből befolyó bevételek a köztemető üzemeltetésének kiadásait fedezik, valamint általuk a Kft. 9 fő helyi lakosnak ad munkát és biztosít családjaik számára megélhetést.</w:t>
      </w:r>
    </w:p>
    <w:p w:rsidR="00C82B2E" w:rsidRDefault="00C82B2E" w:rsidP="00C82B2E">
      <w:pPr>
        <w:tabs>
          <w:tab w:val="center" w:pos="4536"/>
        </w:tabs>
        <w:jc w:val="both"/>
      </w:pPr>
    </w:p>
    <w:p w:rsidR="00C82B2E" w:rsidRDefault="00C82B2E" w:rsidP="00C82B2E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>A rendeletmódosítás jogi megalapozottságát a temetőkről és a temetkezésről szóló 1999. évi XLIII. törvény 40. § (1) bekezdése biztosítja a köztemető tulajdonosa, jelen esetben Tiszavasvári Város Önkormányzata számára. Az új rendelet mindazonáltal nem tesz különbséget külső szolgáltatók között.</w:t>
      </w:r>
    </w:p>
    <w:p w:rsidR="00C82B2E" w:rsidRDefault="00C82B2E" w:rsidP="00C82B2E">
      <w:pPr>
        <w:tabs>
          <w:tab w:val="center" w:pos="4536"/>
        </w:tabs>
        <w:jc w:val="both"/>
      </w:pPr>
    </w:p>
    <w:p w:rsidR="00C82B2E" w:rsidRDefault="00C82B2E" w:rsidP="00C82B2E">
      <w:pPr>
        <w:tabs>
          <w:tab w:val="center" w:pos="4536"/>
        </w:tabs>
        <w:jc w:val="center"/>
        <w:rPr>
          <w:rFonts w:eastAsia="Symbol" w:cs="Symbol"/>
          <w:b/>
          <w:bCs/>
          <w:color w:val="000000"/>
          <w:szCs w:val="24"/>
        </w:rPr>
      </w:pPr>
      <w:r>
        <w:rPr>
          <w:rFonts w:eastAsia="Symbol" w:cs="Symbol"/>
          <w:b/>
          <w:bCs/>
          <w:color w:val="000000"/>
          <w:szCs w:val="24"/>
        </w:rPr>
        <w:t>2. Részletes indokolás</w:t>
      </w:r>
    </w:p>
    <w:p w:rsidR="00C82B2E" w:rsidRDefault="00C82B2E" w:rsidP="00C82B2E">
      <w:pPr>
        <w:tabs>
          <w:tab w:val="center" w:pos="4536"/>
        </w:tabs>
        <w:jc w:val="center"/>
        <w:rPr>
          <w:rFonts w:eastAsia="Symbol" w:cs="Symbol"/>
          <w:b/>
          <w:bCs/>
          <w:color w:val="000000"/>
          <w:szCs w:val="24"/>
        </w:rPr>
      </w:pPr>
    </w:p>
    <w:p w:rsidR="00C82B2E" w:rsidRDefault="00C82B2E" w:rsidP="00C82B2E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 xml:space="preserve"> 1.§</w:t>
      </w:r>
      <w:proofErr w:type="spellStart"/>
      <w:r>
        <w:rPr>
          <w:rFonts w:eastAsia="Symbol" w:cs="Symbol"/>
          <w:b/>
          <w:bCs/>
          <w:color w:val="000000"/>
          <w:szCs w:val="24"/>
        </w:rPr>
        <w:t>-hoz</w:t>
      </w:r>
      <w:proofErr w:type="spellEnd"/>
    </w:p>
    <w:p w:rsidR="00C82B2E" w:rsidRDefault="00C82B2E" w:rsidP="00C82B2E">
      <w:pPr>
        <w:tabs>
          <w:tab w:val="center" w:pos="4536"/>
        </w:tabs>
        <w:rPr>
          <w:rFonts w:eastAsia="Symbol" w:cs="Symbol"/>
          <w:szCs w:val="24"/>
        </w:rPr>
      </w:pP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 xml:space="preserve">A </w:t>
      </w:r>
      <w:proofErr w:type="spellStart"/>
      <w:r>
        <w:rPr>
          <w:rFonts w:eastAsia="Symbol" w:cs="Symbol"/>
          <w:color w:val="000000"/>
          <w:szCs w:val="24"/>
        </w:rPr>
        <w:t>Ttv</w:t>
      </w:r>
      <w:proofErr w:type="spellEnd"/>
      <w:r>
        <w:rPr>
          <w:rFonts w:eastAsia="Symbol" w:cs="Symbol"/>
          <w:color w:val="000000"/>
          <w:szCs w:val="24"/>
        </w:rPr>
        <w:t>. 40. §</w:t>
      </w:r>
      <w:proofErr w:type="spellStart"/>
      <w:r>
        <w:rPr>
          <w:rFonts w:eastAsia="Symbol" w:cs="Symbol"/>
          <w:color w:val="000000"/>
          <w:szCs w:val="24"/>
        </w:rPr>
        <w:t>-</w:t>
      </w:r>
      <w:proofErr w:type="gramStart"/>
      <w:r>
        <w:rPr>
          <w:rFonts w:eastAsia="Symbol" w:cs="Symbol"/>
          <w:color w:val="000000"/>
          <w:szCs w:val="24"/>
        </w:rPr>
        <w:t>a</w:t>
      </w:r>
      <w:proofErr w:type="spellEnd"/>
      <w:proofErr w:type="gramEnd"/>
      <w:r>
        <w:rPr>
          <w:rFonts w:eastAsia="Symbol" w:cs="Symbol"/>
          <w:color w:val="000000"/>
          <w:szCs w:val="24"/>
        </w:rPr>
        <w:t xml:space="preserve"> alapján az önkormányzat rendelete kötelezővé teheti az üzemeltető által biztosított szolgáltatások kötelező igénybe vételét. </w:t>
      </w:r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C82B2E" w:rsidRPr="00302D2D" w:rsidRDefault="00C82B2E" w:rsidP="00C82B2E">
      <w:pPr>
        <w:tabs>
          <w:tab w:val="center" w:pos="4536"/>
        </w:tabs>
        <w:jc w:val="center"/>
        <w:rPr>
          <w:rFonts w:eastAsia="Symbol" w:cs="Symbol"/>
          <w:b/>
          <w:color w:val="000000"/>
          <w:szCs w:val="24"/>
        </w:rPr>
      </w:pPr>
      <w:r w:rsidRPr="00302D2D">
        <w:rPr>
          <w:rFonts w:eastAsia="Symbol" w:cs="Symbol"/>
          <w:b/>
          <w:color w:val="000000"/>
          <w:szCs w:val="24"/>
        </w:rPr>
        <w:t>2. §</w:t>
      </w:r>
      <w:proofErr w:type="spellStart"/>
      <w:r w:rsidRPr="00302D2D">
        <w:rPr>
          <w:rFonts w:eastAsia="Symbol" w:cs="Symbol"/>
          <w:b/>
          <w:color w:val="000000"/>
          <w:szCs w:val="24"/>
        </w:rPr>
        <w:t>-hoz</w:t>
      </w:r>
      <w:proofErr w:type="spellEnd"/>
    </w:p>
    <w:p w:rsidR="00C82B2E" w:rsidRDefault="00C82B2E" w:rsidP="00C82B2E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C82B2E" w:rsidRPr="00D138B5" w:rsidRDefault="00C82B2E" w:rsidP="00C82B2E">
      <w:pPr>
        <w:jc w:val="both"/>
        <w:rPr>
          <w:szCs w:val="24"/>
        </w:rPr>
      </w:pPr>
      <w:r>
        <w:t xml:space="preserve">Amennyiben </w:t>
      </w:r>
      <w:r>
        <w:rPr>
          <w:szCs w:val="24"/>
        </w:rPr>
        <w:t xml:space="preserve">a Képviselő-testület elfogadja a javaslatot, az üzemeltető által biztosított szolgáltatások </w:t>
      </w:r>
      <w:r w:rsidRPr="00E11EE5">
        <w:rPr>
          <w:b/>
          <w:szCs w:val="24"/>
        </w:rPr>
        <w:t xml:space="preserve">díjait </w:t>
      </w:r>
      <w:r>
        <w:rPr>
          <w:b/>
          <w:szCs w:val="24"/>
        </w:rPr>
        <w:t>– a már korábban idézett jogszabályhely alapján - ön</w:t>
      </w:r>
      <w:r w:rsidRPr="00E11EE5">
        <w:rPr>
          <w:b/>
          <w:szCs w:val="24"/>
        </w:rPr>
        <w:t>kormányzati rendeletben meg kell határozni</w:t>
      </w:r>
      <w:r>
        <w:rPr>
          <w:szCs w:val="24"/>
        </w:rPr>
        <w:t xml:space="preserve">. A díjak mértékét az üzemeltető javaslata mellékleteként megküldte, mely a temetőrendelet 2. mellékletét fogja képezni. </w:t>
      </w:r>
      <w:bookmarkStart w:id="0" w:name="_GoBack"/>
      <w:bookmarkEnd w:id="0"/>
    </w:p>
    <w:sectPr w:rsidR="00C82B2E" w:rsidRPr="00D138B5" w:rsidSect="00C82B2E">
      <w:footerReference w:type="even" r:id="rId6"/>
      <w:footerReference w:type="default" r:id="rId7"/>
      <w:pgSz w:w="11906" w:h="16838"/>
      <w:pgMar w:top="1134" w:right="1418" w:bottom="1418" w:left="1418" w:header="567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2" w:rsidRDefault="001F52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B1002" w:rsidRDefault="001F52A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2" w:rsidRDefault="001F52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2B1002" w:rsidRDefault="001F52A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C82"/>
    <w:multiLevelType w:val="hybridMultilevel"/>
    <w:tmpl w:val="E5EE93BE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2E"/>
    <w:rsid w:val="001F52A8"/>
    <w:rsid w:val="00896373"/>
    <w:rsid w:val="00C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B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82B2E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82B2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rsid w:val="00C82B2E"/>
  </w:style>
  <w:style w:type="paragraph" w:styleId="llb">
    <w:name w:val="footer"/>
    <w:basedOn w:val="Norml"/>
    <w:link w:val="llbChar"/>
    <w:rsid w:val="00C82B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82B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82B2E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C82B2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C82B2E"/>
    <w:pPr>
      <w:widowControl w:val="0"/>
      <w:suppressLineNumbers/>
      <w:suppressAutoHyphens/>
      <w:overflowPunct/>
      <w:autoSpaceDN/>
      <w:adjustRightInd/>
      <w:textAlignment w:val="auto"/>
    </w:pPr>
    <w:rPr>
      <w:kern w:val="2"/>
      <w:sz w:val="20"/>
      <w:lang w:eastAsia="zh-CN"/>
    </w:rPr>
  </w:style>
  <w:style w:type="paragraph" w:styleId="NormlWeb">
    <w:name w:val="Normal (Web)"/>
    <w:basedOn w:val="Norml"/>
    <w:uiPriority w:val="99"/>
    <w:unhideWhenUsed/>
    <w:rsid w:val="00C82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B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82B2E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82B2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rsid w:val="00C82B2E"/>
  </w:style>
  <w:style w:type="paragraph" w:styleId="llb">
    <w:name w:val="footer"/>
    <w:basedOn w:val="Norml"/>
    <w:link w:val="llbChar"/>
    <w:rsid w:val="00C82B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82B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82B2E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C82B2E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C82B2E"/>
    <w:pPr>
      <w:widowControl w:val="0"/>
      <w:suppressLineNumbers/>
      <w:suppressAutoHyphens/>
      <w:overflowPunct/>
      <w:autoSpaceDN/>
      <w:adjustRightInd/>
      <w:textAlignment w:val="auto"/>
    </w:pPr>
    <w:rPr>
      <w:kern w:val="2"/>
      <w:sz w:val="20"/>
      <w:lang w:eastAsia="zh-CN"/>
    </w:rPr>
  </w:style>
  <w:style w:type="paragraph" w:styleId="NormlWeb">
    <w:name w:val="Normal (Web)"/>
    <w:basedOn w:val="Norml"/>
    <w:uiPriority w:val="99"/>
    <w:unhideWhenUsed/>
    <w:rsid w:val="00C82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2017-01-27T08:50:00Z</dcterms:created>
  <dcterms:modified xsi:type="dcterms:W3CDTF">2017-01-27T09:03:00Z</dcterms:modified>
</cp:coreProperties>
</file>